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C23" w:rsidRPr="0064474B" w:rsidRDefault="002F6C23" w:rsidP="0064474B">
      <w:pPr>
        <w:spacing w:after="120" w:line="276" w:lineRule="auto"/>
        <w:contextualSpacing/>
        <w:mirrorIndents/>
        <w:jc w:val="both"/>
        <w:rPr>
          <w:rFonts w:cstheme="minorHAnsi"/>
          <w:b/>
          <w:sz w:val="20"/>
          <w:szCs w:val="20"/>
        </w:rPr>
      </w:pPr>
      <w:r w:rsidRPr="0064474B">
        <w:rPr>
          <w:rFonts w:cstheme="minorHAnsi"/>
          <w:b/>
          <w:sz w:val="20"/>
          <w:szCs w:val="20"/>
        </w:rPr>
        <w:t>MEDIA RELEASE: PAYMENT ARRANGEMENTS FOR MUNICIPAL ACCOUNTS</w:t>
      </w:r>
      <w:bookmarkStart w:id="0" w:name="_GoBack"/>
      <w:bookmarkEnd w:id="0"/>
    </w:p>
    <w:p w:rsidR="002F6C23" w:rsidRPr="0064474B" w:rsidRDefault="002F6C23" w:rsidP="0064474B">
      <w:pPr>
        <w:spacing w:after="120" w:line="276" w:lineRule="auto"/>
        <w:contextualSpacing/>
        <w:mirrorIndents/>
        <w:jc w:val="both"/>
        <w:rPr>
          <w:rFonts w:cstheme="minorHAnsi"/>
          <w:sz w:val="20"/>
          <w:szCs w:val="20"/>
        </w:rPr>
      </w:pPr>
    </w:p>
    <w:p w:rsidR="002F6C23" w:rsidRPr="0064474B" w:rsidRDefault="002F6C23" w:rsidP="0064474B">
      <w:pPr>
        <w:spacing w:after="120" w:line="276" w:lineRule="auto"/>
        <w:contextualSpacing/>
        <w:mirrorIndents/>
        <w:jc w:val="both"/>
        <w:rPr>
          <w:rFonts w:cstheme="minorHAnsi"/>
          <w:sz w:val="20"/>
          <w:szCs w:val="20"/>
        </w:rPr>
      </w:pPr>
      <w:r w:rsidRPr="0064474B">
        <w:rPr>
          <w:rFonts w:cstheme="minorHAnsi"/>
          <w:sz w:val="20"/>
          <w:szCs w:val="20"/>
        </w:rPr>
        <w:t>EMBARGO: None</w:t>
      </w:r>
    </w:p>
    <w:p w:rsidR="002F6C23" w:rsidRPr="0064474B" w:rsidRDefault="002F6C23" w:rsidP="0064474B">
      <w:pPr>
        <w:spacing w:after="120" w:line="276" w:lineRule="auto"/>
        <w:contextualSpacing/>
        <w:mirrorIndents/>
        <w:jc w:val="both"/>
        <w:rPr>
          <w:rFonts w:cstheme="minorHAnsi"/>
          <w:sz w:val="20"/>
          <w:szCs w:val="20"/>
        </w:rPr>
      </w:pPr>
    </w:p>
    <w:p w:rsidR="00FC3A07" w:rsidRPr="0064474B" w:rsidRDefault="00FC3A07" w:rsidP="0064474B">
      <w:pPr>
        <w:spacing w:after="120" w:line="276" w:lineRule="auto"/>
        <w:contextualSpacing/>
        <w:mirrorIndents/>
        <w:jc w:val="both"/>
        <w:rPr>
          <w:rFonts w:cstheme="minorHAnsi"/>
          <w:sz w:val="20"/>
          <w:szCs w:val="20"/>
        </w:rPr>
      </w:pPr>
      <w:r w:rsidRPr="0064474B">
        <w:rPr>
          <w:rFonts w:cstheme="minorHAnsi"/>
          <w:sz w:val="20"/>
          <w:szCs w:val="20"/>
        </w:rPr>
        <w:t>At a special Municipal Council meeting today, 13 August, the municipal councillors unanimously agreed to further relief measures regarding payment arrangements and auxiliary recovery charges. The Council also approved the recommendation to have the municipality start implementing the debt collection processes aimed at all consumers who default on their municipal accounts.</w:t>
      </w:r>
    </w:p>
    <w:p w:rsidR="00FC3A07" w:rsidRPr="0064474B" w:rsidRDefault="00FC3A07" w:rsidP="0064474B">
      <w:pPr>
        <w:spacing w:after="120" w:line="276" w:lineRule="auto"/>
        <w:contextualSpacing/>
        <w:mirrorIndents/>
        <w:jc w:val="both"/>
        <w:rPr>
          <w:rFonts w:cstheme="minorHAnsi"/>
          <w:sz w:val="20"/>
          <w:szCs w:val="20"/>
        </w:rPr>
      </w:pPr>
      <w:r w:rsidRPr="0064474B">
        <w:rPr>
          <w:rFonts w:cstheme="minorHAnsi"/>
          <w:sz w:val="20"/>
          <w:szCs w:val="20"/>
        </w:rPr>
        <w:t xml:space="preserve"> </w:t>
      </w:r>
    </w:p>
    <w:p w:rsidR="007B7725" w:rsidRPr="0064474B" w:rsidRDefault="00FC3A07" w:rsidP="0064474B">
      <w:pPr>
        <w:spacing w:after="120" w:line="276" w:lineRule="auto"/>
        <w:contextualSpacing/>
        <w:mirrorIndents/>
        <w:jc w:val="both"/>
        <w:rPr>
          <w:rFonts w:cstheme="minorHAnsi"/>
          <w:sz w:val="20"/>
          <w:szCs w:val="20"/>
        </w:rPr>
      </w:pPr>
      <w:r w:rsidRPr="0064474B">
        <w:rPr>
          <w:rFonts w:cstheme="minorHAnsi"/>
          <w:sz w:val="20"/>
          <w:szCs w:val="20"/>
        </w:rPr>
        <w:t>During the National State of Disaster Lockdown and the promulgated period of Risk-Adjusted Strategy Levels in terms of the National State of Disaster, there has been a considerable increase in outstanding debt and a decrease in the 12-month payment percentage, as the following table illustrates:</w:t>
      </w:r>
    </w:p>
    <w:p w:rsidR="00FC3A07" w:rsidRPr="0064474B" w:rsidRDefault="00FC3A07" w:rsidP="0064474B">
      <w:pPr>
        <w:spacing w:after="120" w:line="276" w:lineRule="auto"/>
        <w:contextualSpacing/>
        <w:mirrorIndents/>
        <w:jc w:val="both"/>
        <w:rPr>
          <w:rFonts w:cstheme="minorHAnsi"/>
          <w:sz w:val="20"/>
          <w:szCs w:val="20"/>
        </w:rPr>
      </w:pPr>
    </w:p>
    <w:tbl>
      <w:tblPr>
        <w:tblW w:w="9182" w:type="dxa"/>
        <w:jc w:val="center"/>
        <w:tblLook w:val="04A0" w:firstRow="1" w:lastRow="0" w:firstColumn="1" w:lastColumn="0" w:noHBand="0" w:noVBand="1"/>
      </w:tblPr>
      <w:tblGrid>
        <w:gridCol w:w="1426"/>
        <w:gridCol w:w="1380"/>
        <w:gridCol w:w="1380"/>
        <w:gridCol w:w="1380"/>
        <w:gridCol w:w="1380"/>
        <w:gridCol w:w="1380"/>
        <w:gridCol w:w="1380"/>
      </w:tblGrid>
      <w:tr w:rsidR="007B7725" w:rsidRPr="0064474B" w:rsidTr="007539B9">
        <w:trPr>
          <w:trHeight w:val="264"/>
          <w:jc w:val="center"/>
        </w:trPr>
        <w:tc>
          <w:tcPr>
            <w:tcW w:w="9182" w:type="dxa"/>
            <w:gridSpan w:val="7"/>
            <w:tcBorders>
              <w:top w:val="nil"/>
              <w:left w:val="nil"/>
              <w:bottom w:val="nil"/>
              <w:right w:val="nil"/>
            </w:tcBorders>
            <w:shd w:val="clear" w:color="auto" w:fill="auto"/>
            <w:noWrap/>
            <w:vAlign w:val="bottom"/>
            <w:hideMark/>
          </w:tcPr>
          <w:p w:rsidR="007B7725" w:rsidRPr="0064474B" w:rsidRDefault="007B7725" w:rsidP="0064474B">
            <w:pPr>
              <w:spacing w:after="120" w:line="276" w:lineRule="auto"/>
              <w:contextualSpacing/>
              <w:mirrorIndents/>
              <w:jc w:val="both"/>
              <w:rPr>
                <w:rFonts w:cstheme="minorHAnsi"/>
                <w:b/>
                <w:bCs/>
                <w:sz w:val="20"/>
                <w:szCs w:val="20"/>
              </w:rPr>
            </w:pPr>
            <w:r w:rsidRPr="0064474B">
              <w:rPr>
                <w:rFonts w:cstheme="minorHAnsi"/>
                <w:sz w:val="20"/>
                <w:szCs w:val="20"/>
              </w:rPr>
              <w:br w:type="page"/>
            </w:r>
            <w:bookmarkStart w:id="1" w:name="RANGE!A1:G243"/>
            <w:r w:rsidRPr="0064474B">
              <w:rPr>
                <w:rFonts w:cstheme="minorHAnsi"/>
                <w:b/>
                <w:bCs/>
                <w:sz w:val="20"/>
                <w:szCs w:val="20"/>
              </w:rPr>
              <w:t>OUTSTANDING DEBTS</w:t>
            </w:r>
            <w:bookmarkEnd w:id="1"/>
          </w:p>
        </w:tc>
      </w:tr>
      <w:tr w:rsidR="007B7725" w:rsidRPr="0064474B" w:rsidTr="007539B9">
        <w:trPr>
          <w:trHeight w:val="264"/>
          <w:jc w:val="center"/>
        </w:trPr>
        <w:tc>
          <w:tcPr>
            <w:tcW w:w="142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B7725" w:rsidRPr="0064474B" w:rsidRDefault="007B7725" w:rsidP="0064474B">
            <w:pPr>
              <w:spacing w:after="120" w:line="276" w:lineRule="auto"/>
              <w:contextualSpacing/>
              <w:mirrorIndents/>
              <w:jc w:val="both"/>
              <w:rPr>
                <w:rFonts w:cstheme="minorHAnsi"/>
                <w:b/>
                <w:bCs/>
                <w:color w:val="000000"/>
                <w:sz w:val="20"/>
                <w:szCs w:val="20"/>
              </w:rPr>
            </w:pPr>
          </w:p>
        </w:tc>
        <w:tc>
          <w:tcPr>
            <w:tcW w:w="1277" w:type="dxa"/>
            <w:tcBorders>
              <w:top w:val="single" w:sz="4" w:space="0" w:color="auto"/>
              <w:left w:val="nil"/>
              <w:bottom w:val="single" w:sz="4" w:space="0" w:color="auto"/>
              <w:right w:val="single" w:sz="4" w:space="0" w:color="auto"/>
            </w:tcBorders>
            <w:shd w:val="clear" w:color="000000" w:fill="BFBFBF"/>
            <w:noWrap/>
            <w:vAlign w:val="bottom"/>
            <w:hideMark/>
          </w:tcPr>
          <w:p w:rsidR="007B7725" w:rsidRPr="0064474B" w:rsidRDefault="007B7725" w:rsidP="0064474B">
            <w:pPr>
              <w:spacing w:after="120" w:line="276" w:lineRule="auto"/>
              <w:contextualSpacing/>
              <w:mirrorIndents/>
              <w:jc w:val="both"/>
              <w:rPr>
                <w:rFonts w:cstheme="minorHAnsi"/>
                <w:b/>
                <w:bCs/>
                <w:color w:val="000000"/>
                <w:sz w:val="20"/>
                <w:szCs w:val="20"/>
              </w:rPr>
            </w:pPr>
            <w:r w:rsidRPr="0064474B">
              <w:rPr>
                <w:rFonts w:cstheme="minorHAnsi"/>
                <w:b/>
                <w:bCs/>
                <w:color w:val="000000"/>
                <w:sz w:val="20"/>
                <w:szCs w:val="20"/>
              </w:rPr>
              <w:t>JULY'19</w:t>
            </w:r>
          </w:p>
        </w:tc>
        <w:tc>
          <w:tcPr>
            <w:tcW w:w="1277" w:type="dxa"/>
            <w:tcBorders>
              <w:top w:val="single" w:sz="4" w:space="0" w:color="auto"/>
              <w:left w:val="nil"/>
              <w:bottom w:val="single" w:sz="4" w:space="0" w:color="auto"/>
              <w:right w:val="single" w:sz="4" w:space="0" w:color="auto"/>
            </w:tcBorders>
            <w:shd w:val="clear" w:color="000000" w:fill="BFBFBF"/>
            <w:noWrap/>
            <w:vAlign w:val="bottom"/>
            <w:hideMark/>
          </w:tcPr>
          <w:p w:rsidR="007B7725" w:rsidRPr="0064474B" w:rsidRDefault="007B7725" w:rsidP="0064474B">
            <w:pPr>
              <w:spacing w:after="120" w:line="276" w:lineRule="auto"/>
              <w:contextualSpacing/>
              <w:mirrorIndents/>
              <w:jc w:val="both"/>
              <w:rPr>
                <w:rFonts w:cstheme="minorHAnsi"/>
                <w:b/>
                <w:bCs/>
                <w:color w:val="000000"/>
                <w:sz w:val="20"/>
                <w:szCs w:val="20"/>
              </w:rPr>
            </w:pPr>
            <w:r w:rsidRPr="0064474B">
              <w:rPr>
                <w:rFonts w:cstheme="minorHAnsi"/>
                <w:b/>
                <w:bCs/>
                <w:color w:val="000000"/>
                <w:sz w:val="20"/>
                <w:szCs w:val="20"/>
              </w:rPr>
              <w:t>AUG'19</w:t>
            </w:r>
          </w:p>
        </w:tc>
        <w:tc>
          <w:tcPr>
            <w:tcW w:w="1277" w:type="dxa"/>
            <w:tcBorders>
              <w:top w:val="single" w:sz="4" w:space="0" w:color="auto"/>
              <w:left w:val="nil"/>
              <w:bottom w:val="single" w:sz="4" w:space="0" w:color="auto"/>
              <w:right w:val="single" w:sz="4" w:space="0" w:color="auto"/>
            </w:tcBorders>
            <w:shd w:val="clear" w:color="000000" w:fill="BFBFBF"/>
            <w:noWrap/>
            <w:vAlign w:val="bottom"/>
            <w:hideMark/>
          </w:tcPr>
          <w:p w:rsidR="007B7725" w:rsidRPr="0064474B" w:rsidRDefault="007B7725" w:rsidP="0064474B">
            <w:pPr>
              <w:spacing w:after="120" w:line="276" w:lineRule="auto"/>
              <w:contextualSpacing/>
              <w:mirrorIndents/>
              <w:jc w:val="both"/>
              <w:rPr>
                <w:rFonts w:cstheme="minorHAnsi"/>
                <w:b/>
                <w:bCs/>
                <w:color w:val="000000"/>
                <w:sz w:val="20"/>
                <w:szCs w:val="20"/>
              </w:rPr>
            </w:pPr>
            <w:r w:rsidRPr="0064474B">
              <w:rPr>
                <w:rFonts w:cstheme="minorHAnsi"/>
                <w:b/>
                <w:bCs/>
                <w:color w:val="000000"/>
                <w:sz w:val="20"/>
                <w:szCs w:val="20"/>
              </w:rPr>
              <w:t>SEPT'19</w:t>
            </w:r>
          </w:p>
        </w:tc>
        <w:tc>
          <w:tcPr>
            <w:tcW w:w="1277" w:type="dxa"/>
            <w:tcBorders>
              <w:top w:val="single" w:sz="4" w:space="0" w:color="auto"/>
              <w:left w:val="nil"/>
              <w:bottom w:val="single" w:sz="4" w:space="0" w:color="auto"/>
              <w:right w:val="single" w:sz="4" w:space="0" w:color="auto"/>
            </w:tcBorders>
            <w:shd w:val="clear" w:color="000000" w:fill="BFBFBF"/>
            <w:noWrap/>
            <w:vAlign w:val="bottom"/>
            <w:hideMark/>
          </w:tcPr>
          <w:p w:rsidR="007B7725" w:rsidRPr="0064474B" w:rsidRDefault="007B7725" w:rsidP="0064474B">
            <w:pPr>
              <w:spacing w:after="120" w:line="276" w:lineRule="auto"/>
              <w:contextualSpacing/>
              <w:mirrorIndents/>
              <w:jc w:val="both"/>
              <w:rPr>
                <w:rFonts w:cstheme="minorHAnsi"/>
                <w:b/>
                <w:bCs/>
                <w:color w:val="000000"/>
                <w:sz w:val="20"/>
                <w:szCs w:val="20"/>
              </w:rPr>
            </w:pPr>
            <w:r w:rsidRPr="0064474B">
              <w:rPr>
                <w:rFonts w:cstheme="minorHAnsi"/>
                <w:b/>
                <w:bCs/>
                <w:color w:val="000000"/>
                <w:sz w:val="20"/>
                <w:szCs w:val="20"/>
              </w:rPr>
              <w:t>OKT'19</w:t>
            </w:r>
          </w:p>
        </w:tc>
        <w:tc>
          <w:tcPr>
            <w:tcW w:w="1277" w:type="dxa"/>
            <w:tcBorders>
              <w:top w:val="single" w:sz="4" w:space="0" w:color="auto"/>
              <w:left w:val="nil"/>
              <w:bottom w:val="single" w:sz="4" w:space="0" w:color="auto"/>
              <w:right w:val="single" w:sz="4" w:space="0" w:color="auto"/>
            </w:tcBorders>
            <w:shd w:val="clear" w:color="000000" w:fill="BFBFBF"/>
            <w:noWrap/>
            <w:vAlign w:val="bottom"/>
            <w:hideMark/>
          </w:tcPr>
          <w:p w:rsidR="007B7725" w:rsidRPr="0064474B" w:rsidRDefault="007B7725" w:rsidP="0064474B">
            <w:pPr>
              <w:spacing w:after="120" w:line="276" w:lineRule="auto"/>
              <w:contextualSpacing/>
              <w:mirrorIndents/>
              <w:jc w:val="both"/>
              <w:rPr>
                <w:rFonts w:cstheme="minorHAnsi"/>
                <w:b/>
                <w:bCs/>
                <w:color w:val="000000"/>
                <w:sz w:val="20"/>
                <w:szCs w:val="20"/>
              </w:rPr>
            </w:pPr>
            <w:r w:rsidRPr="0064474B">
              <w:rPr>
                <w:rFonts w:cstheme="minorHAnsi"/>
                <w:b/>
                <w:bCs/>
                <w:color w:val="000000"/>
                <w:sz w:val="20"/>
                <w:szCs w:val="20"/>
              </w:rPr>
              <w:t>NOV'19</w:t>
            </w:r>
          </w:p>
        </w:tc>
        <w:tc>
          <w:tcPr>
            <w:tcW w:w="1371" w:type="dxa"/>
            <w:tcBorders>
              <w:top w:val="single" w:sz="4" w:space="0" w:color="auto"/>
              <w:left w:val="nil"/>
              <w:bottom w:val="single" w:sz="4" w:space="0" w:color="auto"/>
              <w:right w:val="single" w:sz="4" w:space="0" w:color="auto"/>
            </w:tcBorders>
            <w:shd w:val="clear" w:color="000000" w:fill="BFBFBF"/>
            <w:noWrap/>
            <w:vAlign w:val="bottom"/>
            <w:hideMark/>
          </w:tcPr>
          <w:p w:rsidR="007B7725" w:rsidRPr="0064474B" w:rsidRDefault="007B7725" w:rsidP="0064474B">
            <w:pPr>
              <w:spacing w:after="120" w:line="276" w:lineRule="auto"/>
              <w:contextualSpacing/>
              <w:mirrorIndents/>
              <w:jc w:val="both"/>
              <w:rPr>
                <w:rFonts w:cstheme="minorHAnsi"/>
                <w:b/>
                <w:bCs/>
                <w:color w:val="000000"/>
                <w:sz w:val="20"/>
                <w:szCs w:val="20"/>
              </w:rPr>
            </w:pPr>
            <w:r w:rsidRPr="0064474B">
              <w:rPr>
                <w:rFonts w:cstheme="minorHAnsi"/>
                <w:b/>
                <w:bCs/>
                <w:color w:val="000000"/>
                <w:sz w:val="20"/>
                <w:szCs w:val="20"/>
              </w:rPr>
              <w:t>DEC'19</w:t>
            </w:r>
          </w:p>
        </w:tc>
      </w:tr>
      <w:tr w:rsidR="007B7725" w:rsidRPr="0064474B" w:rsidTr="00183B94">
        <w:trPr>
          <w:trHeight w:val="264"/>
          <w:jc w:val="center"/>
        </w:trPr>
        <w:tc>
          <w:tcPr>
            <w:tcW w:w="1426" w:type="dxa"/>
            <w:tcBorders>
              <w:top w:val="nil"/>
              <w:left w:val="single" w:sz="4" w:space="0" w:color="auto"/>
              <w:bottom w:val="single" w:sz="4" w:space="0" w:color="auto"/>
              <w:right w:val="single" w:sz="4" w:space="0" w:color="auto"/>
            </w:tcBorders>
            <w:shd w:val="clear" w:color="auto" w:fill="auto"/>
            <w:noWrap/>
            <w:vAlign w:val="bottom"/>
            <w:hideMark/>
          </w:tcPr>
          <w:p w:rsidR="007B7725" w:rsidRPr="0064474B" w:rsidRDefault="007B7725" w:rsidP="00183B94">
            <w:pPr>
              <w:spacing w:after="0" w:line="276" w:lineRule="auto"/>
              <w:contextualSpacing/>
              <w:mirrorIndents/>
              <w:jc w:val="center"/>
              <w:rPr>
                <w:rFonts w:cstheme="minorHAnsi"/>
                <w:b/>
                <w:bCs/>
                <w:color w:val="000000"/>
                <w:sz w:val="20"/>
                <w:szCs w:val="20"/>
              </w:rPr>
            </w:pPr>
            <w:r w:rsidRPr="0064474B">
              <w:rPr>
                <w:rFonts w:cstheme="minorHAnsi"/>
                <w:b/>
                <w:bCs/>
                <w:color w:val="000000"/>
                <w:sz w:val="20"/>
                <w:szCs w:val="20"/>
              </w:rPr>
              <w:t>Outstanding Debt</w:t>
            </w:r>
          </w:p>
        </w:tc>
        <w:tc>
          <w:tcPr>
            <w:tcW w:w="1277"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32,326,265.39</w:t>
            </w:r>
          </w:p>
        </w:tc>
        <w:tc>
          <w:tcPr>
            <w:tcW w:w="1277"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33,893,530.41</w:t>
            </w:r>
          </w:p>
        </w:tc>
        <w:tc>
          <w:tcPr>
            <w:tcW w:w="1277"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33,975,433.86</w:t>
            </w:r>
          </w:p>
        </w:tc>
        <w:tc>
          <w:tcPr>
            <w:tcW w:w="1277"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35,033,211.40</w:t>
            </w:r>
          </w:p>
        </w:tc>
        <w:tc>
          <w:tcPr>
            <w:tcW w:w="1277"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35,573,080.61</w:t>
            </w:r>
          </w:p>
        </w:tc>
        <w:tc>
          <w:tcPr>
            <w:tcW w:w="1371"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40,534,871.66</w:t>
            </w:r>
          </w:p>
        </w:tc>
      </w:tr>
      <w:tr w:rsidR="007B7725" w:rsidRPr="0064474B" w:rsidTr="007539B9">
        <w:trPr>
          <w:trHeight w:val="264"/>
          <w:jc w:val="center"/>
        </w:trPr>
        <w:tc>
          <w:tcPr>
            <w:tcW w:w="1426" w:type="dxa"/>
            <w:tcBorders>
              <w:top w:val="nil"/>
              <w:left w:val="single" w:sz="4" w:space="0" w:color="auto"/>
              <w:bottom w:val="single" w:sz="4" w:space="0" w:color="auto"/>
              <w:right w:val="single" w:sz="4" w:space="0" w:color="auto"/>
            </w:tcBorders>
            <w:shd w:val="clear" w:color="000000" w:fill="BFBFBF"/>
            <w:noWrap/>
            <w:vAlign w:val="bottom"/>
            <w:hideMark/>
          </w:tcPr>
          <w:p w:rsidR="007B7725" w:rsidRPr="0064474B" w:rsidRDefault="007B7725" w:rsidP="00183B94">
            <w:pPr>
              <w:spacing w:after="0" w:line="276" w:lineRule="auto"/>
              <w:contextualSpacing/>
              <w:mirrorIndents/>
              <w:jc w:val="center"/>
              <w:rPr>
                <w:rFonts w:cstheme="minorHAnsi"/>
                <w:b/>
                <w:bCs/>
                <w:color w:val="000000"/>
                <w:sz w:val="20"/>
                <w:szCs w:val="20"/>
              </w:rPr>
            </w:pPr>
          </w:p>
        </w:tc>
        <w:tc>
          <w:tcPr>
            <w:tcW w:w="1277" w:type="dxa"/>
            <w:tcBorders>
              <w:top w:val="nil"/>
              <w:left w:val="nil"/>
              <w:bottom w:val="single" w:sz="4" w:space="0" w:color="auto"/>
              <w:right w:val="single" w:sz="4" w:space="0" w:color="auto"/>
            </w:tcBorders>
            <w:shd w:val="clear" w:color="000000" w:fill="BFBFBF"/>
            <w:noWrap/>
            <w:vAlign w:val="bottom"/>
            <w:hideMark/>
          </w:tcPr>
          <w:p w:rsidR="007B7725" w:rsidRPr="0064474B" w:rsidRDefault="007B7725" w:rsidP="00183B94">
            <w:pPr>
              <w:spacing w:after="0" w:line="276" w:lineRule="auto"/>
              <w:contextualSpacing/>
              <w:mirrorIndents/>
              <w:jc w:val="center"/>
              <w:rPr>
                <w:rFonts w:cstheme="minorHAnsi"/>
                <w:b/>
                <w:bCs/>
                <w:color w:val="000000"/>
                <w:sz w:val="20"/>
                <w:szCs w:val="20"/>
              </w:rPr>
            </w:pPr>
            <w:r w:rsidRPr="0064474B">
              <w:rPr>
                <w:rFonts w:cstheme="minorHAnsi"/>
                <w:b/>
                <w:bCs/>
                <w:color w:val="000000"/>
                <w:sz w:val="20"/>
                <w:szCs w:val="20"/>
              </w:rPr>
              <w:t>JAN'20</w:t>
            </w:r>
          </w:p>
        </w:tc>
        <w:tc>
          <w:tcPr>
            <w:tcW w:w="1277" w:type="dxa"/>
            <w:tcBorders>
              <w:top w:val="nil"/>
              <w:left w:val="nil"/>
              <w:bottom w:val="single" w:sz="4" w:space="0" w:color="auto"/>
              <w:right w:val="single" w:sz="4" w:space="0" w:color="auto"/>
            </w:tcBorders>
            <w:shd w:val="clear" w:color="000000" w:fill="BFBFBF"/>
            <w:noWrap/>
            <w:vAlign w:val="bottom"/>
            <w:hideMark/>
          </w:tcPr>
          <w:p w:rsidR="007B7725" w:rsidRPr="0064474B" w:rsidRDefault="007B7725" w:rsidP="00183B94">
            <w:pPr>
              <w:spacing w:after="0" w:line="276" w:lineRule="auto"/>
              <w:contextualSpacing/>
              <w:mirrorIndents/>
              <w:jc w:val="center"/>
              <w:rPr>
                <w:rFonts w:cstheme="minorHAnsi"/>
                <w:b/>
                <w:bCs/>
                <w:color w:val="000000"/>
                <w:sz w:val="20"/>
                <w:szCs w:val="20"/>
              </w:rPr>
            </w:pPr>
            <w:r w:rsidRPr="0064474B">
              <w:rPr>
                <w:rFonts w:cstheme="minorHAnsi"/>
                <w:b/>
                <w:bCs/>
                <w:color w:val="000000"/>
                <w:sz w:val="20"/>
                <w:szCs w:val="20"/>
              </w:rPr>
              <w:t>FEB'20</w:t>
            </w:r>
          </w:p>
        </w:tc>
        <w:tc>
          <w:tcPr>
            <w:tcW w:w="1277" w:type="dxa"/>
            <w:tcBorders>
              <w:top w:val="nil"/>
              <w:left w:val="nil"/>
              <w:bottom w:val="single" w:sz="4" w:space="0" w:color="auto"/>
              <w:right w:val="single" w:sz="4" w:space="0" w:color="auto"/>
            </w:tcBorders>
            <w:shd w:val="clear" w:color="000000" w:fill="BFBFBF"/>
            <w:noWrap/>
            <w:vAlign w:val="bottom"/>
            <w:hideMark/>
          </w:tcPr>
          <w:p w:rsidR="007B7725" w:rsidRPr="0064474B" w:rsidRDefault="007B7725" w:rsidP="00183B94">
            <w:pPr>
              <w:spacing w:after="0" w:line="276" w:lineRule="auto"/>
              <w:contextualSpacing/>
              <w:mirrorIndents/>
              <w:jc w:val="center"/>
              <w:rPr>
                <w:rFonts w:cstheme="minorHAnsi"/>
                <w:b/>
                <w:bCs/>
                <w:color w:val="000000"/>
                <w:sz w:val="20"/>
                <w:szCs w:val="20"/>
              </w:rPr>
            </w:pPr>
            <w:r w:rsidRPr="0064474B">
              <w:rPr>
                <w:rFonts w:cstheme="minorHAnsi"/>
                <w:b/>
                <w:bCs/>
                <w:color w:val="000000"/>
                <w:sz w:val="20"/>
                <w:szCs w:val="20"/>
              </w:rPr>
              <w:t>MARCH'20</w:t>
            </w:r>
          </w:p>
        </w:tc>
        <w:tc>
          <w:tcPr>
            <w:tcW w:w="1277" w:type="dxa"/>
            <w:tcBorders>
              <w:top w:val="nil"/>
              <w:left w:val="nil"/>
              <w:bottom w:val="single" w:sz="4" w:space="0" w:color="auto"/>
              <w:right w:val="single" w:sz="4" w:space="0" w:color="auto"/>
            </w:tcBorders>
            <w:shd w:val="clear" w:color="000000" w:fill="BFBFBF"/>
            <w:noWrap/>
            <w:vAlign w:val="bottom"/>
            <w:hideMark/>
          </w:tcPr>
          <w:p w:rsidR="007B7725" w:rsidRPr="0064474B" w:rsidRDefault="007B7725" w:rsidP="00183B94">
            <w:pPr>
              <w:spacing w:after="0" w:line="276" w:lineRule="auto"/>
              <w:contextualSpacing/>
              <w:mirrorIndents/>
              <w:jc w:val="center"/>
              <w:rPr>
                <w:rFonts w:cstheme="minorHAnsi"/>
                <w:b/>
                <w:bCs/>
                <w:color w:val="000000"/>
                <w:sz w:val="20"/>
                <w:szCs w:val="20"/>
              </w:rPr>
            </w:pPr>
            <w:r w:rsidRPr="0064474B">
              <w:rPr>
                <w:rFonts w:cstheme="minorHAnsi"/>
                <w:b/>
                <w:bCs/>
                <w:color w:val="000000"/>
                <w:sz w:val="20"/>
                <w:szCs w:val="20"/>
              </w:rPr>
              <w:t>APRIL'20</w:t>
            </w:r>
          </w:p>
        </w:tc>
        <w:tc>
          <w:tcPr>
            <w:tcW w:w="1277" w:type="dxa"/>
            <w:tcBorders>
              <w:top w:val="nil"/>
              <w:left w:val="nil"/>
              <w:bottom w:val="single" w:sz="4" w:space="0" w:color="auto"/>
              <w:right w:val="single" w:sz="4" w:space="0" w:color="auto"/>
            </w:tcBorders>
            <w:shd w:val="clear" w:color="000000" w:fill="BFBFBF"/>
            <w:noWrap/>
            <w:vAlign w:val="bottom"/>
            <w:hideMark/>
          </w:tcPr>
          <w:p w:rsidR="007B7725" w:rsidRPr="0064474B" w:rsidRDefault="007B7725" w:rsidP="00183B94">
            <w:pPr>
              <w:spacing w:after="0" w:line="276" w:lineRule="auto"/>
              <w:contextualSpacing/>
              <w:mirrorIndents/>
              <w:jc w:val="center"/>
              <w:rPr>
                <w:rFonts w:cstheme="minorHAnsi"/>
                <w:b/>
                <w:bCs/>
                <w:color w:val="000000"/>
                <w:sz w:val="20"/>
                <w:szCs w:val="20"/>
              </w:rPr>
            </w:pPr>
            <w:r w:rsidRPr="0064474B">
              <w:rPr>
                <w:rFonts w:cstheme="minorHAnsi"/>
                <w:b/>
                <w:bCs/>
                <w:color w:val="000000"/>
                <w:sz w:val="20"/>
                <w:szCs w:val="20"/>
              </w:rPr>
              <w:t>MAY'20</w:t>
            </w:r>
          </w:p>
        </w:tc>
        <w:tc>
          <w:tcPr>
            <w:tcW w:w="1371" w:type="dxa"/>
            <w:tcBorders>
              <w:top w:val="nil"/>
              <w:left w:val="nil"/>
              <w:bottom w:val="single" w:sz="4" w:space="0" w:color="auto"/>
              <w:right w:val="single" w:sz="4" w:space="0" w:color="auto"/>
            </w:tcBorders>
            <w:shd w:val="clear" w:color="000000" w:fill="BFBFBF"/>
            <w:noWrap/>
            <w:vAlign w:val="bottom"/>
            <w:hideMark/>
          </w:tcPr>
          <w:p w:rsidR="007B7725" w:rsidRPr="0064474B" w:rsidRDefault="007B7725" w:rsidP="00183B94">
            <w:pPr>
              <w:spacing w:after="0" w:line="276" w:lineRule="auto"/>
              <w:contextualSpacing/>
              <w:mirrorIndents/>
              <w:jc w:val="center"/>
              <w:rPr>
                <w:rFonts w:cstheme="minorHAnsi"/>
                <w:b/>
                <w:bCs/>
                <w:color w:val="000000"/>
                <w:sz w:val="20"/>
                <w:szCs w:val="20"/>
              </w:rPr>
            </w:pPr>
            <w:r w:rsidRPr="0064474B">
              <w:rPr>
                <w:rFonts w:cstheme="minorHAnsi"/>
                <w:b/>
                <w:bCs/>
                <w:color w:val="000000"/>
                <w:sz w:val="20"/>
                <w:szCs w:val="20"/>
              </w:rPr>
              <w:t>JUNE'20</w:t>
            </w:r>
          </w:p>
        </w:tc>
      </w:tr>
      <w:tr w:rsidR="007B7725" w:rsidRPr="0064474B" w:rsidTr="00183B94">
        <w:trPr>
          <w:trHeight w:val="264"/>
          <w:jc w:val="center"/>
        </w:trPr>
        <w:tc>
          <w:tcPr>
            <w:tcW w:w="1426" w:type="dxa"/>
            <w:tcBorders>
              <w:top w:val="nil"/>
              <w:left w:val="single" w:sz="4" w:space="0" w:color="auto"/>
              <w:bottom w:val="single" w:sz="4" w:space="0" w:color="auto"/>
              <w:right w:val="single" w:sz="4" w:space="0" w:color="auto"/>
            </w:tcBorders>
            <w:shd w:val="clear" w:color="auto" w:fill="auto"/>
            <w:noWrap/>
            <w:vAlign w:val="bottom"/>
            <w:hideMark/>
          </w:tcPr>
          <w:p w:rsidR="007B7725" w:rsidRPr="0064474B" w:rsidRDefault="007B7725" w:rsidP="00183B94">
            <w:pPr>
              <w:spacing w:after="0" w:line="276" w:lineRule="auto"/>
              <w:contextualSpacing/>
              <w:mirrorIndents/>
              <w:jc w:val="center"/>
              <w:rPr>
                <w:rFonts w:cstheme="minorHAnsi"/>
                <w:b/>
                <w:bCs/>
                <w:color w:val="000000"/>
                <w:sz w:val="20"/>
                <w:szCs w:val="20"/>
              </w:rPr>
            </w:pPr>
            <w:r w:rsidRPr="0064474B">
              <w:rPr>
                <w:rFonts w:cstheme="minorHAnsi"/>
                <w:b/>
                <w:bCs/>
                <w:color w:val="000000"/>
                <w:sz w:val="20"/>
                <w:szCs w:val="20"/>
              </w:rPr>
              <w:t>Outstanding Debt</w:t>
            </w:r>
          </w:p>
        </w:tc>
        <w:tc>
          <w:tcPr>
            <w:tcW w:w="1277"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42,874,081.37</w:t>
            </w:r>
          </w:p>
        </w:tc>
        <w:tc>
          <w:tcPr>
            <w:tcW w:w="1277"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43,761,287.61</w:t>
            </w:r>
          </w:p>
        </w:tc>
        <w:tc>
          <w:tcPr>
            <w:tcW w:w="1277"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46,774,507.18</w:t>
            </w:r>
          </w:p>
        </w:tc>
        <w:tc>
          <w:tcPr>
            <w:tcW w:w="1277"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59,064,201.27</w:t>
            </w:r>
          </w:p>
        </w:tc>
        <w:tc>
          <w:tcPr>
            <w:tcW w:w="1277"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65,360,828.10</w:t>
            </w:r>
          </w:p>
        </w:tc>
        <w:tc>
          <w:tcPr>
            <w:tcW w:w="1371" w:type="dxa"/>
            <w:tcBorders>
              <w:top w:val="nil"/>
              <w:left w:val="nil"/>
              <w:bottom w:val="single" w:sz="4" w:space="0" w:color="auto"/>
              <w:right w:val="single" w:sz="4" w:space="0" w:color="auto"/>
            </w:tcBorders>
            <w:shd w:val="clear" w:color="auto" w:fill="auto"/>
            <w:noWrap/>
            <w:vAlign w:val="center"/>
            <w:hideMark/>
          </w:tcPr>
          <w:p w:rsidR="007B7725" w:rsidRPr="0064474B" w:rsidRDefault="007B7725" w:rsidP="00183B94">
            <w:pPr>
              <w:spacing w:after="0" w:line="276" w:lineRule="auto"/>
              <w:contextualSpacing/>
              <w:mirrorIndents/>
              <w:jc w:val="center"/>
              <w:rPr>
                <w:rFonts w:cstheme="minorHAnsi"/>
                <w:color w:val="000000"/>
                <w:sz w:val="20"/>
                <w:szCs w:val="20"/>
              </w:rPr>
            </w:pPr>
            <w:r w:rsidRPr="0064474B">
              <w:rPr>
                <w:rFonts w:cstheme="minorHAnsi"/>
                <w:color w:val="000000"/>
                <w:sz w:val="20"/>
                <w:szCs w:val="20"/>
              </w:rPr>
              <w:t>70,019,593.27</w:t>
            </w:r>
          </w:p>
        </w:tc>
      </w:tr>
    </w:tbl>
    <w:p w:rsidR="007B7725" w:rsidRPr="0064474B" w:rsidRDefault="007B7725" w:rsidP="0064474B">
      <w:pPr>
        <w:spacing w:after="120" w:line="276" w:lineRule="auto"/>
        <w:contextualSpacing/>
        <w:mirrorIndents/>
        <w:jc w:val="both"/>
        <w:rPr>
          <w:rFonts w:cstheme="minorHAnsi"/>
          <w:sz w:val="20"/>
          <w:szCs w:val="20"/>
        </w:rPr>
      </w:pPr>
    </w:p>
    <w:p w:rsidR="00FC3A07" w:rsidRPr="0064474B" w:rsidRDefault="00FC3A07" w:rsidP="0064474B">
      <w:pPr>
        <w:spacing w:after="120" w:line="276" w:lineRule="auto"/>
        <w:contextualSpacing/>
        <w:mirrorIndents/>
        <w:jc w:val="both"/>
        <w:rPr>
          <w:rFonts w:cstheme="minorHAnsi"/>
          <w:sz w:val="20"/>
          <w:szCs w:val="20"/>
        </w:rPr>
      </w:pPr>
      <w:r w:rsidRPr="0064474B">
        <w:rPr>
          <w:rFonts w:cstheme="minorHAnsi"/>
          <w:sz w:val="20"/>
          <w:szCs w:val="20"/>
        </w:rPr>
        <w:t>The Speaker, Alderman Petru Terblanche expressed his concern at the virtual doubling of outstanding debt during the past year. The Councillors agreed that the COVID-19 pandemic did not only impact on people’s lives, but also wreaked havoc with household income. The Councillors supported the Executive Mayor, Alderman Harry Levendal’s insistence that councillors unanimously and irrespective of party political differences work together to ensure that residents are aware of the various relief measures available to mitigate the effect of financial hardship on families. “If there are families who continue to suffer water supply on a drip in this municipality it is because the administration is unaware of them. I urge the councillors to assist in efforts to identify the applicable addresses and to motivate the residents to approach the municipality for assistance,” the Municipal Manager, Adv Thys Giliomee insisted.</w:t>
      </w:r>
    </w:p>
    <w:p w:rsidR="00863798" w:rsidRPr="0064474B" w:rsidRDefault="00863798" w:rsidP="0064474B">
      <w:pPr>
        <w:pStyle w:val="Heading2btext"/>
        <w:spacing w:before="0" w:after="120" w:line="276" w:lineRule="auto"/>
        <w:contextualSpacing/>
        <w:mirrorIndents/>
        <w:rPr>
          <w:rFonts w:asciiTheme="minorHAnsi" w:hAnsiTheme="minorHAnsi" w:cstheme="minorHAnsi"/>
          <w:b/>
          <w:sz w:val="20"/>
          <w:szCs w:val="20"/>
          <w:lang w:val="en-ZA"/>
        </w:rPr>
      </w:pPr>
      <w:r w:rsidRPr="0064474B">
        <w:rPr>
          <w:rFonts w:asciiTheme="minorHAnsi" w:hAnsiTheme="minorHAnsi" w:cstheme="minorHAnsi"/>
          <w:b/>
          <w:sz w:val="20"/>
          <w:szCs w:val="20"/>
          <w:lang w:val="en-ZA"/>
        </w:rPr>
        <w:t>Timelines</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The Municipal Manager said the municipality’s financial performance as the best-rated local authority in the country is influenced by the long-term financial plan that intends to ensure that the town’s administration does not run into financial difficulties. Implementing the debt collection processes, he said, is an attempt to improve the payment ratios.</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“We hope and implore the community to approach the municipality to make arrangements to either apply for indigent benefits, or for the discounted services available to pensioners or to enter into payment settlement plans.”</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Even with the considerable increase in outstanding debt, we have not yet seen the impact on the number of payment arrangements, indigent, and pensioners application as expected.  </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Currently, as of 30 July 2020, there are more than 8 500 accounts with an outstanding debt of more than R1 000 older than 30 days. </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There are only 168 active payment arrangements in place, of which about 90 are new.</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It is imperative that the Municipality, therefore, proceeds now with the implementation of its debt collection policy to mitigate the risk of further increases in debt to prevent necessitated write-offs of uncollectable debt in the future. </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lastRenderedPageBreak/>
        <w:t>Council’s debt collection policy will be implemented from 19 August 2020, and debt will be handed over for collection purposes from 25 August 2020. </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A soft approach will initially be followed to inform account holders who are in arrears of the options available to either make payment arrangements or to apply for subsidies. This approach will be intensified in the coming months. </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64474B">
        <w:rPr>
          <w:rFonts w:eastAsia="Times New Roman" w:cstheme="minorHAnsi"/>
          <w:b/>
          <w:bCs/>
          <w:color w:val="0E101A"/>
          <w:sz w:val="20"/>
          <w:szCs w:val="20"/>
          <w:lang w:eastAsia="en-ZA"/>
        </w:rPr>
        <w:t>Business/ Industrial Consumers Deadline (not residential consumers)</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 xml:space="preserve">Businesses and industrial consumers may apply to pay back arrears built up until 17 August 2020 in equal </w:t>
      </w:r>
      <w:r w:rsidR="00183B94" w:rsidRPr="008A1DF2">
        <w:rPr>
          <w:rFonts w:eastAsia="Times New Roman" w:cstheme="minorHAnsi"/>
          <w:color w:val="0E101A"/>
          <w:sz w:val="20"/>
          <w:szCs w:val="20"/>
          <w:lang w:eastAsia="en-ZA"/>
        </w:rPr>
        <w:t>instalments</w:t>
      </w:r>
      <w:r w:rsidRPr="008A1DF2">
        <w:rPr>
          <w:rFonts w:eastAsia="Times New Roman" w:cstheme="minorHAnsi"/>
          <w:color w:val="0E101A"/>
          <w:sz w:val="20"/>
          <w:szCs w:val="20"/>
          <w:lang w:eastAsia="en-ZA"/>
        </w:rPr>
        <w:t>, interest-free, for no longer than six months - with no deposit, and without auxiliaries being deducted from prepaid electricity purchases. To qualify, business and industrial consumers must apply for this payment arrangement before the deadline of 15 September 2020. Should the business owners not adhere to the payment arrangement, interest will be charged, the normal credit control measures will be applied, and auxiliaries will be deducted from the prepaid electricity purchases.</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These consumers will have to prove that they were financially affected by the COVID-19 Lockdown. They will also have to provide the municipality with details regarding their employees and whether they were paid in full or not.</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Application for payment arrangements per Council’s Debt Collection Policy can be made for a period of up to 12 months with interest and deposits by all account holders. No auxiliaries will be deducted from prepaid electricity purchases when the account holder entered into a payment arrangement with the municipality. However, should an account holder not adhere to the payment arrangement, the normal credit control measures will be applied, and auxiliaries will be deducted from prepaid electricity purchases.</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The following timeline indicates the current month’s process before the handover date for collection purposes:</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1. July 2020 Billing date – 24 July 2020</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2. Payment date – 17 August 2020</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3. Estimated Interest billing date – 19 August 2020</w:t>
      </w:r>
    </w:p>
    <w:p w:rsidR="008A1DF2" w:rsidRPr="008A1DF2"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4. Estimated handover date for collection purposes – 25 August 2020.</w:t>
      </w:r>
    </w:p>
    <w:p w:rsidR="0064474B" w:rsidRPr="0064474B" w:rsidRDefault="008A1DF2" w:rsidP="0064474B">
      <w:pPr>
        <w:spacing w:after="120" w:line="276" w:lineRule="auto"/>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“We have to acknowledge the economic impact on every individual in the town,” the Municipal Manager said, and he asked that the community should interact with their municipal councillors, where necessary.</w:t>
      </w:r>
    </w:p>
    <w:p w:rsidR="00307E0C" w:rsidRPr="0064474B" w:rsidRDefault="0064474B" w:rsidP="0064474B">
      <w:pPr>
        <w:spacing w:after="120" w:line="276" w:lineRule="auto"/>
        <w:jc w:val="both"/>
        <w:rPr>
          <w:rFonts w:eastAsia="Times New Roman" w:cstheme="minorHAnsi"/>
          <w:color w:val="0E101A"/>
          <w:sz w:val="20"/>
          <w:szCs w:val="20"/>
          <w:lang w:eastAsia="en-ZA"/>
        </w:rPr>
      </w:pPr>
      <w:r w:rsidRPr="0064474B">
        <w:rPr>
          <w:rFonts w:eastAsia="Times New Roman" w:cstheme="minorHAnsi"/>
          <w:color w:val="0E101A"/>
          <w:sz w:val="20"/>
          <w:szCs w:val="20"/>
          <w:lang w:eastAsia="en-ZA"/>
        </w:rPr>
        <w:t>The following summary applies:</w:t>
      </w:r>
    </w:p>
    <w:tbl>
      <w:tblPr>
        <w:tblStyle w:val="TableGrid"/>
        <w:tblW w:w="0" w:type="auto"/>
        <w:tblLook w:val="04A0" w:firstRow="1" w:lastRow="0" w:firstColumn="1" w:lastColumn="0" w:noHBand="0" w:noVBand="1"/>
      </w:tblPr>
      <w:tblGrid>
        <w:gridCol w:w="4508"/>
        <w:gridCol w:w="4508"/>
      </w:tblGrid>
      <w:tr w:rsidR="00307E0C" w:rsidRPr="0064474B" w:rsidTr="007539B9">
        <w:tc>
          <w:tcPr>
            <w:tcW w:w="4508" w:type="dxa"/>
          </w:tcPr>
          <w:p w:rsidR="00307E0C" w:rsidRPr="0064474B" w:rsidRDefault="00307E0C" w:rsidP="0064474B">
            <w:pPr>
              <w:spacing w:after="120" w:line="276" w:lineRule="auto"/>
              <w:contextualSpacing/>
              <w:mirrorIndents/>
              <w:jc w:val="both"/>
              <w:rPr>
                <w:rFonts w:cstheme="minorHAnsi"/>
                <w:b/>
                <w:sz w:val="20"/>
                <w:szCs w:val="20"/>
              </w:rPr>
            </w:pPr>
            <w:r w:rsidRPr="0064474B">
              <w:rPr>
                <w:rFonts w:cstheme="minorHAnsi"/>
                <w:b/>
                <w:sz w:val="20"/>
                <w:szCs w:val="20"/>
              </w:rPr>
              <w:t>Residential Consumers</w:t>
            </w:r>
          </w:p>
        </w:tc>
        <w:tc>
          <w:tcPr>
            <w:tcW w:w="4508" w:type="dxa"/>
          </w:tcPr>
          <w:p w:rsidR="00307E0C" w:rsidRPr="0064474B" w:rsidRDefault="00307E0C" w:rsidP="0064474B">
            <w:pPr>
              <w:spacing w:after="120" w:line="276" w:lineRule="auto"/>
              <w:contextualSpacing/>
              <w:mirrorIndents/>
              <w:jc w:val="both"/>
              <w:rPr>
                <w:rFonts w:cstheme="minorHAnsi"/>
                <w:b/>
                <w:sz w:val="20"/>
                <w:szCs w:val="20"/>
              </w:rPr>
            </w:pPr>
            <w:r w:rsidRPr="0064474B">
              <w:rPr>
                <w:rFonts w:cstheme="minorHAnsi"/>
                <w:b/>
                <w:sz w:val="20"/>
                <w:szCs w:val="20"/>
              </w:rPr>
              <w:t>Business and industrial Consumers</w:t>
            </w:r>
          </w:p>
        </w:tc>
      </w:tr>
      <w:tr w:rsidR="00307E0C" w:rsidRPr="0064474B" w:rsidTr="007539B9">
        <w:tc>
          <w:tcPr>
            <w:tcW w:w="4508" w:type="dxa"/>
          </w:tcPr>
          <w:p w:rsidR="008A1DF2" w:rsidRPr="0064474B" w:rsidRDefault="00307E0C" w:rsidP="00183B94">
            <w:pPr>
              <w:spacing w:after="80"/>
              <w:contextualSpacing/>
              <w:mirrorIndents/>
              <w:jc w:val="both"/>
              <w:rPr>
                <w:rFonts w:cstheme="minorHAnsi"/>
                <w:sz w:val="20"/>
                <w:szCs w:val="20"/>
              </w:rPr>
            </w:pPr>
            <w:r w:rsidRPr="0064474B">
              <w:rPr>
                <w:rFonts w:cstheme="minorHAnsi"/>
                <w:b/>
                <w:sz w:val="20"/>
                <w:szCs w:val="20"/>
              </w:rPr>
              <w:t>Indigent Consumers</w:t>
            </w:r>
            <w:r w:rsidR="00727641" w:rsidRPr="0064474B">
              <w:rPr>
                <w:rFonts w:cstheme="minorHAnsi"/>
                <w:sz w:val="20"/>
                <w:szCs w:val="20"/>
              </w:rPr>
              <w:t xml:space="preserve">: </w:t>
            </w:r>
          </w:p>
          <w:p w:rsidR="008A1DF2" w:rsidRPr="008A1DF2" w:rsidRDefault="008A1DF2" w:rsidP="00183B94">
            <w:pPr>
              <w:spacing w:after="80"/>
              <w:contextualSpacing/>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All debt is written off for </w:t>
            </w:r>
            <w:r w:rsidRPr="0064474B">
              <w:rPr>
                <w:rFonts w:eastAsia="Times New Roman" w:cstheme="minorHAnsi"/>
                <w:b/>
                <w:bCs/>
                <w:color w:val="0E101A"/>
                <w:sz w:val="20"/>
                <w:szCs w:val="20"/>
                <w:u w:val="single"/>
                <w:lang w:eastAsia="en-ZA"/>
              </w:rPr>
              <w:t>newly approved applicants</w:t>
            </w:r>
            <w:r w:rsidRPr="008A1DF2">
              <w:rPr>
                <w:rFonts w:eastAsia="Times New Roman" w:cstheme="minorHAnsi"/>
                <w:color w:val="0E101A"/>
                <w:sz w:val="20"/>
                <w:szCs w:val="20"/>
                <w:lang w:eastAsia="en-ZA"/>
              </w:rPr>
              <w:t>. The key is that the resident must apply, or at least find out whether he/she qualifies.</w:t>
            </w:r>
          </w:p>
          <w:p w:rsidR="008A1DF2" w:rsidRPr="008A1DF2" w:rsidRDefault="008A1DF2" w:rsidP="00183B94">
            <w:pPr>
              <w:spacing w:after="80"/>
              <w:contextualSpacing/>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 </w:t>
            </w:r>
          </w:p>
          <w:p w:rsidR="008A1DF2" w:rsidRPr="008A1DF2" w:rsidRDefault="008A1DF2" w:rsidP="00183B94">
            <w:pPr>
              <w:spacing w:after="80"/>
              <w:contextualSpacing/>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 xml:space="preserve">Any existing indigent customers (as per previous Council resolution and listed below) can </w:t>
            </w:r>
            <w:proofErr w:type="gramStart"/>
            <w:r w:rsidRPr="008A1DF2">
              <w:rPr>
                <w:rFonts w:eastAsia="Times New Roman" w:cstheme="minorHAnsi"/>
                <w:color w:val="0E101A"/>
                <w:sz w:val="20"/>
                <w:szCs w:val="20"/>
                <w:lang w:eastAsia="en-ZA"/>
              </w:rPr>
              <w:t>make arrangements</w:t>
            </w:r>
            <w:proofErr w:type="gramEnd"/>
            <w:r w:rsidRPr="008A1DF2">
              <w:rPr>
                <w:rFonts w:eastAsia="Times New Roman" w:cstheme="minorHAnsi"/>
                <w:color w:val="0E101A"/>
                <w:sz w:val="20"/>
                <w:szCs w:val="20"/>
                <w:lang w:eastAsia="en-ZA"/>
              </w:rPr>
              <w:t xml:space="preserve"> for any debt accumulated since they became indigent, but they will be charged interest on the accumulated debt that is capitalised. </w:t>
            </w:r>
          </w:p>
          <w:p w:rsidR="00307E0C" w:rsidRPr="0064474B" w:rsidRDefault="008A1DF2" w:rsidP="00183B94">
            <w:pPr>
              <w:spacing w:after="80"/>
              <w:contextualSpacing/>
              <w:jc w:val="both"/>
              <w:rPr>
                <w:rFonts w:eastAsia="Times New Roman" w:cstheme="minorHAnsi"/>
                <w:color w:val="0E101A"/>
                <w:sz w:val="20"/>
                <w:szCs w:val="20"/>
                <w:lang w:eastAsia="en-ZA"/>
              </w:rPr>
            </w:pPr>
            <w:r w:rsidRPr="008A1DF2">
              <w:rPr>
                <w:rFonts w:eastAsia="Times New Roman" w:cstheme="minorHAnsi"/>
                <w:color w:val="0E101A"/>
                <w:sz w:val="20"/>
                <w:szCs w:val="20"/>
                <w:lang w:eastAsia="en-ZA"/>
              </w:rPr>
              <w:t>The period of the arrangement can be up to 12 months.</w:t>
            </w:r>
          </w:p>
        </w:tc>
        <w:tc>
          <w:tcPr>
            <w:tcW w:w="4508" w:type="dxa"/>
          </w:tcPr>
          <w:p w:rsidR="00307E0C" w:rsidRPr="0064474B" w:rsidRDefault="00BE5631" w:rsidP="00183B94">
            <w:pPr>
              <w:spacing w:after="80"/>
              <w:contextualSpacing/>
              <w:mirrorIndents/>
              <w:jc w:val="both"/>
              <w:rPr>
                <w:rFonts w:cstheme="minorHAnsi"/>
                <w:sz w:val="20"/>
                <w:szCs w:val="20"/>
              </w:rPr>
            </w:pPr>
            <w:r w:rsidRPr="0064474B">
              <w:rPr>
                <w:rFonts w:cstheme="minorHAnsi"/>
                <w:sz w:val="20"/>
                <w:szCs w:val="20"/>
              </w:rPr>
              <w:t>N/A</w:t>
            </w:r>
          </w:p>
        </w:tc>
      </w:tr>
      <w:tr w:rsidR="00307E0C" w:rsidRPr="0064474B" w:rsidTr="007539B9">
        <w:tc>
          <w:tcPr>
            <w:tcW w:w="4508" w:type="dxa"/>
          </w:tcPr>
          <w:p w:rsidR="00BE5631" w:rsidRPr="0064474B" w:rsidRDefault="006C1BD2" w:rsidP="00183B94">
            <w:pPr>
              <w:spacing w:after="80"/>
              <w:ind w:firstLine="360"/>
              <w:contextualSpacing/>
              <w:jc w:val="both"/>
              <w:rPr>
                <w:rFonts w:cstheme="minorHAnsi"/>
                <w:sz w:val="20"/>
                <w:szCs w:val="20"/>
              </w:rPr>
            </w:pPr>
            <w:r w:rsidRPr="0064474B">
              <w:rPr>
                <w:rFonts w:cstheme="minorHAnsi"/>
                <w:b/>
                <w:sz w:val="20"/>
                <w:szCs w:val="20"/>
              </w:rPr>
              <w:t>Pensioners:</w:t>
            </w:r>
            <w:r w:rsidRPr="0064474B">
              <w:rPr>
                <w:rFonts w:cstheme="minorHAnsi"/>
                <w:sz w:val="20"/>
                <w:szCs w:val="20"/>
              </w:rPr>
              <w:t xml:space="preserve"> </w:t>
            </w:r>
          </w:p>
          <w:p w:rsidR="00BE5631" w:rsidRPr="0064474B" w:rsidRDefault="00593C8D" w:rsidP="00183B94">
            <w:pPr>
              <w:spacing w:after="80"/>
              <w:contextualSpacing/>
              <w:jc w:val="both"/>
              <w:rPr>
                <w:rFonts w:cstheme="minorHAnsi"/>
                <w:sz w:val="20"/>
                <w:szCs w:val="20"/>
              </w:rPr>
            </w:pPr>
            <w:r w:rsidRPr="0064474B">
              <w:rPr>
                <w:rFonts w:cstheme="minorHAnsi"/>
                <w:sz w:val="20"/>
                <w:szCs w:val="20"/>
              </w:rPr>
              <w:t xml:space="preserve"> </w:t>
            </w:r>
            <w:r w:rsidR="00BE5631" w:rsidRPr="0064474B">
              <w:rPr>
                <w:rFonts w:cstheme="minorHAnsi"/>
                <w:bCs/>
                <w:iCs/>
                <w:sz w:val="20"/>
                <w:szCs w:val="20"/>
              </w:rPr>
              <w:t xml:space="preserve">Pensioners qualify for the undermentioned discounts of property rates and sewerage fees if they comply with the following conditions: </w:t>
            </w:r>
          </w:p>
          <w:p w:rsidR="00BE5631" w:rsidRPr="0064474B" w:rsidRDefault="00BE5631" w:rsidP="00183B94">
            <w:pPr>
              <w:numPr>
                <w:ilvl w:val="0"/>
                <w:numId w:val="5"/>
              </w:numPr>
              <w:spacing w:after="80"/>
              <w:ind w:left="0"/>
              <w:contextualSpacing/>
              <w:jc w:val="both"/>
              <w:rPr>
                <w:rFonts w:eastAsia="Times New Roman" w:cstheme="minorHAnsi"/>
                <w:sz w:val="20"/>
                <w:szCs w:val="20"/>
              </w:rPr>
            </w:pPr>
            <w:r w:rsidRPr="0064474B">
              <w:rPr>
                <w:rFonts w:eastAsia="Times New Roman" w:cstheme="minorHAnsi"/>
                <w:iCs/>
                <w:sz w:val="20"/>
                <w:szCs w:val="20"/>
              </w:rPr>
              <w:t xml:space="preserve">Rebates can only be allocated if the property is categorized as RES – Residential; </w:t>
            </w:r>
          </w:p>
          <w:p w:rsidR="00BE5631" w:rsidRPr="0064474B" w:rsidRDefault="00BE5631" w:rsidP="00183B94">
            <w:pPr>
              <w:numPr>
                <w:ilvl w:val="0"/>
                <w:numId w:val="5"/>
              </w:numPr>
              <w:spacing w:after="80"/>
              <w:ind w:left="0"/>
              <w:contextualSpacing/>
              <w:jc w:val="both"/>
              <w:rPr>
                <w:rFonts w:eastAsia="Times New Roman" w:cstheme="minorHAnsi"/>
                <w:sz w:val="20"/>
                <w:szCs w:val="20"/>
              </w:rPr>
            </w:pPr>
            <w:r w:rsidRPr="0064474B">
              <w:rPr>
                <w:rFonts w:eastAsia="Times New Roman" w:cstheme="minorHAnsi"/>
                <w:iCs/>
                <w:sz w:val="20"/>
                <w:szCs w:val="20"/>
              </w:rPr>
              <w:t xml:space="preserve">No rebates will be allowed on vacant plots or farms. </w:t>
            </w:r>
          </w:p>
          <w:p w:rsidR="00BE5631" w:rsidRPr="0064474B" w:rsidRDefault="00BE5631" w:rsidP="00183B94">
            <w:pPr>
              <w:numPr>
                <w:ilvl w:val="0"/>
                <w:numId w:val="5"/>
              </w:numPr>
              <w:spacing w:after="80"/>
              <w:ind w:left="0"/>
              <w:contextualSpacing/>
              <w:jc w:val="both"/>
              <w:rPr>
                <w:rFonts w:eastAsia="Times New Roman" w:cstheme="minorHAnsi"/>
                <w:sz w:val="20"/>
                <w:szCs w:val="20"/>
              </w:rPr>
            </w:pPr>
            <w:r w:rsidRPr="0064474B">
              <w:rPr>
                <w:rFonts w:eastAsia="Times New Roman" w:cstheme="minorHAnsi"/>
                <w:sz w:val="20"/>
                <w:szCs w:val="20"/>
              </w:rPr>
              <w:t>The applicant must:</w:t>
            </w:r>
          </w:p>
          <w:p w:rsidR="00BE5631" w:rsidRPr="0064474B" w:rsidRDefault="00BE5631" w:rsidP="00183B94">
            <w:pPr>
              <w:pStyle w:val="ListParagraph"/>
              <w:numPr>
                <w:ilvl w:val="0"/>
                <w:numId w:val="6"/>
              </w:numPr>
              <w:spacing w:after="80"/>
              <w:ind w:left="0"/>
              <w:jc w:val="both"/>
              <w:rPr>
                <w:rFonts w:cstheme="minorHAnsi"/>
                <w:iCs/>
                <w:sz w:val="20"/>
                <w:szCs w:val="20"/>
              </w:rPr>
            </w:pPr>
            <w:r w:rsidRPr="0064474B">
              <w:rPr>
                <w:rFonts w:cstheme="minorHAnsi"/>
                <w:iCs/>
                <w:sz w:val="20"/>
                <w:szCs w:val="20"/>
              </w:rPr>
              <w:t>occupy the property as his/her Primary Residence, and</w:t>
            </w:r>
          </w:p>
          <w:p w:rsidR="00BE5631" w:rsidRPr="0064474B" w:rsidRDefault="00BE5631" w:rsidP="00183B94">
            <w:pPr>
              <w:pStyle w:val="ListParagraph"/>
              <w:numPr>
                <w:ilvl w:val="0"/>
                <w:numId w:val="6"/>
              </w:numPr>
              <w:spacing w:after="80"/>
              <w:ind w:left="0"/>
              <w:jc w:val="both"/>
              <w:rPr>
                <w:rFonts w:cstheme="minorHAnsi"/>
                <w:iCs/>
                <w:sz w:val="20"/>
                <w:szCs w:val="20"/>
              </w:rPr>
            </w:pPr>
            <w:r w:rsidRPr="0064474B">
              <w:rPr>
                <w:rFonts w:cstheme="minorHAnsi"/>
                <w:iCs/>
                <w:sz w:val="20"/>
                <w:szCs w:val="20"/>
              </w:rPr>
              <w:t>be at least 60 years of age, or</w:t>
            </w:r>
          </w:p>
          <w:p w:rsidR="00BE5631" w:rsidRPr="0064474B" w:rsidRDefault="00BE5631" w:rsidP="00183B94">
            <w:pPr>
              <w:pStyle w:val="ListParagraph"/>
              <w:numPr>
                <w:ilvl w:val="0"/>
                <w:numId w:val="6"/>
              </w:numPr>
              <w:spacing w:after="80"/>
              <w:ind w:left="0"/>
              <w:jc w:val="both"/>
              <w:rPr>
                <w:rFonts w:cstheme="minorHAnsi"/>
                <w:iCs/>
                <w:sz w:val="20"/>
                <w:szCs w:val="20"/>
              </w:rPr>
            </w:pPr>
            <w:r w:rsidRPr="0064474B">
              <w:rPr>
                <w:rFonts w:cstheme="minorHAnsi"/>
                <w:iCs/>
                <w:sz w:val="20"/>
                <w:szCs w:val="20"/>
              </w:rPr>
              <w:t>has been declared medically unfit even if not yet 60 years of age, and</w:t>
            </w:r>
          </w:p>
          <w:p w:rsidR="00BE5631" w:rsidRPr="0064474B" w:rsidRDefault="00BE5631" w:rsidP="00183B94">
            <w:pPr>
              <w:pStyle w:val="ListParagraph"/>
              <w:numPr>
                <w:ilvl w:val="0"/>
                <w:numId w:val="6"/>
              </w:numPr>
              <w:spacing w:after="80"/>
              <w:ind w:left="0"/>
              <w:jc w:val="both"/>
              <w:rPr>
                <w:rFonts w:cstheme="minorHAnsi"/>
                <w:iCs/>
                <w:sz w:val="20"/>
                <w:szCs w:val="20"/>
              </w:rPr>
            </w:pPr>
            <w:r w:rsidRPr="0064474B">
              <w:rPr>
                <w:rFonts w:cstheme="minorHAnsi"/>
                <w:iCs/>
                <w:sz w:val="20"/>
                <w:szCs w:val="20"/>
              </w:rPr>
              <w:t>be in receipt of a gross monthly household income not exceeding the amount determined by Council during the Municipality's budget process.</w:t>
            </w:r>
          </w:p>
          <w:p w:rsidR="00BE5631" w:rsidRPr="0064474B" w:rsidRDefault="00BE5631" w:rsidP="00183B94">
            <w:pPr>
              <w:pStyle w:val="ListParagraph"/>
              <w:numPr>
                <w:ilvl w:val="0"/>
                <w:numId w:val="6"/>
              </w:numPr>
              <w:spacing w:after="80"/>
              <w:ind w:left="0"/>
              <w:jc w:val="both"/>
              <w:rPr>
                <w:rFonts w:cstheme="minorHAnsi"/>
                <w:iCs/>
                <w:sz w:val="20"/>
                <w:szCs w:val="20"/>
              </w:rPr>
            </w:pPr>
            <w:r w:rsidRPr="0064474B">
              <w:rPr>
                <w:rFonts w:cstheme="minorHAnsi"/>
                <w:iCs/>
                <w:sz w:val="20"/>
                <w:szCs w:val="20"/>
              </w:rPr>
              <w:t>the applicant must be the registered owner of the property; or</w:t>
            </w:r>
          </w:p>
          <w:p w:rsidR="00BE5631" w:rsidRPr="0064474B" w:rsidRDefault="00BE5631" w:rsidP="00183B94">
            <w:pPr>
              <w:pStyle w:val="ListParagraph"/>
              <w:numPr>
                <w:ilvl w:val="0"/>
                <w:numId w:val="6"/>
              </w:numPr>
              <w:spacing w:after="80"/>
              <w:ind w:left="0"/>
              <w:jc w:val="both"/>
              <w:rPr>
                <w:rFonts w:cstheme="minorHAnsi"/>
                <w:iCs/>
                <w:sz w:val="20"/>
                <w:szCs w:val="20"/>
              </w:rPr>
            </w:pPr>
            <w:r w:rsidRPr="0064474B">
              <w:rPr>
                <w:rFonts w:cstheme="minorHAnsi"/>
                <w:iCs/>
                <w:sz w:val="20"/>
                <w:szCs w:val="20"/>
              </w:rPr>
              <w:t>have a registered usufruct on the property.</w:t>
            </w:r>
          </w:p>
          <w:p w:rsidR="00BE5631" w:rsidRPr="0064474B" w:rsidRDefault="00BE5631" w:rsidP="00183B94">
            <w:pPr>
              <w:spacing w:after="80"/>
              <w:contextualSpacing/>
              <w:jc w:val="both"/>
              <w:rPr>
                <w:rFonts w:cstheme="minorHAnsi"/>
                <w:sz w:val="20"/>
                <w:szCs w:val="20"/>
                <w:u w:val="single"/>
              </w:rPr>
            </w:pPr>
            <w:r w:rsidRPr="0064474B">
              <w:rPr>
                <w:rFonts w:cstheme="minorHAnsi"/>
                <w:iCs/>
                <w:sz w:val="20"/>
                <w:szCs w:val="20"/>
                <w:u w:val="single"/>
              </w:rPr>
              <w:t xml:space="preserve">Discount to pensioners on PROPERTY RATES &amp; SEWERAGE CHARGES are calculated as follows: </w:t>
            </w:r>
          </w:p>
          <w:p w:rsidR="001D64CE" w:rsidRPr="0064474B" w:rsidRDefault="00BE5631" w:rsidP="00183B94">
            <w:pPr>
              <w:numPr>
                <w:ilvl w:val="0"/>
                <w:numId w:val="7"/>
              </w:numPr>
              <w:spacing w:after="80"/>
              <w:ind w:left="0"/>
              <w:contextualSpacing/>
              <w:jc w:val="both"/>
              <w:rPr>
                <w:rFonts w:eastAsia="Times New Roman" w:cstheme="minorHAnsi"/>
                <w:sz w:val="20"/>
                <w:szCs w:val="20"/>
              </w:rPr>
            </w:pPr>
            <w:r w:rsidRPr="0064474B">
              <w:rPr>
                <w:rFonts w:eastAsia="Times New Roman" w:cstheme="minorHAnsi"/>
                <w:iCs/>
                <w:sz w:val="20"/>
                <w:szCs w:val="20"/>
              </w:rPr>
              <w:t xml:space="preserve">Total household income &gt; R16 600 p.m. &lt;R22 100 p.m. (from R199 200 per annum to R265 200 per annum) - qualify for 30% discount </w:t>
            </w:r>
          </w:p>
          <w:p w:rsidR="00307E0C" w:rsidRPr="0064474B" w:rsidRDefault="001D64CE" w:rsidP="00183B94">
            <w:pPr>
              <w:pStyle w:val="ListParagraph"/>
              <w:numPr>
                <w:ilvl w:val="0"/>
                <w:numId w:val="7"/>
              </w:numPr>
              <w:spacing w:after="80"/>
              <w:ind w:left="0"/>
              <w:mirrorIndents/>
              <w:jc w:val="both"/>
              <w:rPr>
                <w:rFonts w:cstheme="minorHAnsi"/>
                <w:sz w:val="20"/>
                <w:szCs w:val="20"/>
              </w:rPr>
            </w:pPr>
            <w:r w:rsidRPr="0064474B">
              <w:rPr>
                <w:rFonts w:eastAsia="Times New Roman" w:cstheme="minorHAnsi"/>
                <w:iCs/>
                <w:sz w:val="20"/>
                <w:szCs w:val="20"/>
              </w:rPr>
              <w:t xml:space="preserve"> </w:t>
            </w:r>
            <w:r w:rsidR="00BE5631" w:rsidRPr="0064474B">
              <w:rPr>
                <w:rFonts w:eastAsia="Times New Roman" w:cstheme="minorHAnsi"/>
                <w:iCs/>
                <w:sz w:val="20"/>
                <w:szCs w:val="20"/>
              </w:rPr>
              <w:t>Total household income &lt;= R16 600 p.m. (R199 200 per annum and less) - qualify for 50% discount</w:t>
            </w:r>
          </w:p>
        </w:tc>
        <w:tc>
          <w:tcPr>
            <w:tcW w:w="4508" w:type="dxa"/>
          </w:tcPr>
          <w:p w:rsidR="00307E0C" w:rsidRPr="0064474B" w:rsidRDefault="00B74F6D" w:rsidP="00183B94">
            <w:pPr>
              <w:spacing w:after="80"/>
              <w:contextualSpacing/>
              <w:mirrorIndents/>
              <w:jc w:val="both"/>
              <w:rPr>
                <w:rFonts w:cstheme="minorHAnsi"/>
                <w:sz w:val="20"/>
                <w:szCs w:val="20"/>
              </w:rPr>
            </w:pPr>
            <w:r w:rsidRPr="0064474B">
              <w:rPr>
                <w:rFonts w:cstheme="minorHAnsi"/>
                <w:sz w:val="20"/>
                <w:szCs w:val="20"/>
              </w:rPr>
              <w:t>N/A</w:t>
            </w:r>
          </w:p>
        </w:tc>
      </w:tr>
      <w:tr w:rsidR="00B74F6D" w:rsidRPr="0064474B" w:rsidTr="007539B9">
        <w:tc>
          <w:tcPr>
            <w:tcW w:w="4508" w:type="dxa"/>
          </w:tcPr>
          <w:p w:rsidR="00B74F6D" w:rsidRPr="0064474B" w:rsidRDefault="00B74F6D" w:rsidP="00183B94">
            <w:pPr>
              <w:pStyle w:val="Heading2btext"/>
              <w:spacing w:before="0" w:after="80"/>
              <w:contextualSpacing/>
              <w:rPr>
                <w:rFonts w:asciiTheme="minorHAnsi" w:hAnsiTheme="minorHAnsi" w:cstheme="minorHAnsi"/>
                <w:sz w:val="20"/>
                <w:szCs w:val="20"/>
                <w:lang w:val="en-ZA"/>
              </w:rPr>
            </w:pPr>
            <w:r w:rsidRPr="0064474B">
              <w:rPr>
                <w:rFonts w:asciiTheme="minorHAnsi" w:hAnsiTheme="minorHAnsi" w:cstheme="minorHAnsi"/>
                <w:b/>
                <w:sz w:val="20"/>
                <w:szCs w:val="20"/>
              </w:rPr>
              <w:t>Auxiliary Charges</w:t>
            </w:r>
            <w:r w:rsidRPr="0064474B">
              <w:rPr>
                <w:rFonts w:asciiTheme="minorHAnsi" w:hAnsiTheme="minorHAnsi" w:cstheme="minorHAnsi"/>
                <w:sz w:val="20"/>
                <w:szCs w:val="20"/>
              </w:rPr>
              <w:t xml:space="preserve">: </w:t>
            </w:r>
            <w:r w:rsidRPr="0064474B">
              <w:rPr>
                <w:rFonts w:asciiTheme="minorHAnsi" w:hAnsiTheme="minorHAnsi" w:cstheme="minorHAnsi"/>
                <w:sz w:val="20"/>
                <w:szCs w:val="20"/>
                <w:lang w:val="en-ZA"/>
              </w:rPr>
              <w:t xml:space="preserve">The auxiliary percentage was decreased from 55% to 30% during the lockdown period and until 30 June 2020. </w:t>
            </w:r>
          </w:p>
          <w:p w:rsidR="00B74F6D" w:rsidRPr="0064474B" w:rsidRDefault="00B74F6D" w:rsidP="00183B94">
            <w:pPr>
              <w:spacing w:after="80"/>
              <w:contextualSpacing/>
              <w:mirrorIndents/>
              <w:jc w:val="both"/>
              <w:rPr>
                <w:rFonts w:cstheme="minorHAnsi"/>
                <w:sz w:val="20"/>
                <w:szCs w:val="20"/>
              </w:rPr>
            </w:pPr>
            <w:r w:rsidRPr="0064474B">
              <w:rPr>
                <w:rFonts w:cstheme="minorHAnsi"/>
                <w:sz w:val="20"/>
                <w:szCs w:val="20"/>
              </w:rPr>
              <w:t>It will now work and based on any outstanding debt still on the account and the following table will be considered:</w:t>
            </w:r>
          </w:p>
          <w:p w:rsidR="00B74F6D" w:rsidRPr="0064474B" w:rsidRDefault="00B74F6D" w:rsidP="00183B94">
            <w:pPr>
              <w:pStyle w:val="Heading2btext"/>
              <w:numPr>
                <w:ilvl w:val="0"/>
                <w:numId w:val="4"/>
              </w:numPr>
              <w:spacing w:before="0" w:after="80"/>
              <w:ind w:left="0"/>
              <w:contextualSpacing/>
              <w:rPr>
                <w:rFonts w:asciiTheme="minorHAnsi" w:hAnsiTheme="minorHAnsi" w:cstheme="minorHAnsi"/>
                <w:sz w:val="20"/>
                <w:szCs w:val="20"/>
                <w:lang w:val="en-ZA"/>
              </w:rPr>
            </w:pPr>
            <w:r w:rsidRPr="0064474B">
              <w:rPr>
                <w:rFonts w:asciiTheme="minorHAnsi" w:hAnsiTheme="minorHAnsi" w:cstheme="minorHAnsi"/>
                <w:sz w:val="20"/>
                <w:szCs w:val="20"/>
                <w:lang w:val="en-ZA"/>
              </w:rPr>
              <w:t>40% from 14 August 2020</w:t>
            </w:r>
          </w:p>
          <w:p w:rsidR="00B74F6D" w:rsidRPr="0064474B" w:rsidRDefault="00B74F6D" w:rsidP="00183B94">
            <w:pPr>
              <w:pStyle w:val="Heading2btext"/>
              <w:numPr>
                <w:ilvl w:val="0"/>
                <w:numId w:val="4"/>
              </w:numPr>
              <w:spacing w:before="0" w:after="80"/>
              <w:ind w:left="0"/>
              <w:contextualSpacing/>
              <w:rPr>
                <w:rFonts w:asciiTheme="minorHAnsi" w:hAnsiTheme="minorHAnsi" w:cstheme="minorHAnsi"/>
                <w:sz w:val="20"/>
                <w:szCs w:val="20"/>
                <w:lang w:val="en-ZA"/>
              </w:rPr>
            </w:pPr>
            <w:r w:rsidRPr="0064474B">
              <w:rPr>
                <w:rFonts w:asciiTheme="minorHAnsi" w:hAnsiTheme="minorHAnsi" w:cstheme="minorHAnsi"/>
                <w:sz w:val="20"/>
                <w:szCs w:val="20"/>
                <w:lang w:val="en-ZA"/>
              </w:rPr>
              <w:t>45% from 15 September 2020</w:t>
            </w:r>
          </w:p>
          <w:p w:rsidR="00B74F6D" w:rsidRPr="0064474B" w:rsidRDefault="00B74F6D" w:rsidP="00183B94">
            <w:pPr>
              <w:pStyle w:val="Heading2btext"/>
              <w:numPr>
                <w:ilvl w:val="0"/>
                <w:numId w:val="4"/>
              </w:numPr>
              <w:spacing w:before="0" w:after="80"/>
              <w:ind w:left="0"/>
              <w:contextualSpacing/>
              <w:rPr>
                <w:rFonts w:asciiTheme="minorHAnsi" w:hAnsiTheme="minorHAnsi" w:cstheme="minorHAnsi"/>
                <w:sz w:val="20"/>
                <w:szCs w:val="20"/>
                <w:lang w:val="en-ZA"/>
              </w:rPr>
            </w:pPr>
            <w:r w:rsidRPr="0064474B">
              <w:rPr>
                <w:rFonts w:asciiTheme="minorHAnsi" w:hAnsiTheme="minorHAnsi" w:cstheme="minorHAnsi"/>
                <w:sz w:val="20"/>
                <w:szCs w:val="20"/>
                <w:lang w:val="en-ZA"/>
              </w:rPr>
              <w:t>50% from 15 October 2020</w:t>
            </w:r>
          </w:p>
          <w:p w:rsidR="00B74F6D" w:rsidRPr="0064474B" w:rsidRDefault="00B74F6D" w:rsidP="00183B94">
            <w:pPr>
              <w:pStyle w:val="Heading2btext"/>
              <w:numPr>
                <w:ilvl w:val="0"/>
                <w:numId w:val="4"/>
              </w:numPr>
              <w:spacing w:before="0" w:after="80"/>
              <w:ind w:left="0"/>
              <w:contextualSpacing/>
              <w:rPr>
                <w:rFonts w:asciiTheme="minorHAnsi" w:hAnsiTheme="minorHAnsi" w:cstheme="minorHAnsi"/>
                <w:sz w:val="20"/>
                <w:szCs w:val="20"/>
                <w:lang w:val="en-ZA"/>
              </w:rPr>
            </w:pPr>
            <w:r w:rsidRPr="0064474B">
              <w:rPr>
                <w:rFonts w:asciiTheme="minorHAnsi" w:hAnsiTheme="minorHAnsi" w:cstheme="minorHAnsi"/>
                <w:sz w:val="20"/>
                <w:szCs w:val="20"/>
                <w:lang w:val="en-ZA"/>
              </w:rPr>
              <w:t>55% from 13 November 2020.</w:t>
            </w:r>
          </w:p>
          <w:p w:rsidR="00B74F6D" w:rsidRDefault="00B74F6D" w:rsidP="00183B94">
            <w:pPr>
              <w:pStyle w:val="Heading2btext"/>
              <w:spacing w:before="0" w:after="80"/>
              <w:contextualSpacing/>
              <w:rPr>
                <w:rFonts w:asciiTheme="minorHAnsi" w:hAnsiTheme="minorHAnsi" w:cstheme="minorHAnsi"/>
                <w:i/>
                <w:sz w:val="20"/>
                <w:szCs w:val="20"/>
                <w:lang w:val="en-ZA"/>
              </w:rPr>
            </w:pPr>
            <w:r w:rsidRPr="0064474B">
              <w:rPr>
                <w:rFonts w:asciiTheme="minorHAnsi" w:hAnsiTheme="minorHAnsi" w:cstheme="minorHAnsi"/>
                <w:i/>
                <w:sz w:val="20"/>
                <w:szCs w:val="20"/>
                <w:lang w:val="en-ZA"/>
              </w:rPr>
              <w:t>This will only apply when electricity is bought and the electricity units that is bought will be reduced by the percentage.</w:t>
            </w:r>
          </w:p>
          <w:p w:rsidR="0064474B" w:rsidRPr="0064474B" w:rsidRDefault="0064474B" w:rsidP="00183B94">
            <w:pPr>
              <w:pStyle w:val="Heading2btext"/>
              <w:spacing w:before="0" w:after="80"/>
              <w:contextualSpacing/>
              <w:rPr>
                <w:rFonts w:asciiTheme="minorHAnsi" w:hAnsiTheme="minorHAnsi" w:cstheme="minorHAnsi"/>
                <w:i/>
                <w:sz w:val="20"/>
                <w:szCs w:val="20"/>
                <w:lang w:val="en-ZA"/>
              </w:rPr>
            </w:pPr>
          </w:p>
        </w:tc>
        <w:tc>
          <w:tcPr>
            <w:tcW w:w="4508" w:type="dxa"/>
          </w:tcPr>
          <w:p w:rsidR="00B74F6D" w:rsidRPr="0064474B" w:rsidRDefault="00B74F6D" w:rsidP="00183B94">
            <w:pPr>
              <w:pStyle w:val="Heading2btext"/>
              <w:spacing w:before="0" w:after="80"/>
              <w:contextualSpacing/>
              <w:rPr>
                <w:rFonts w:asciiTheme="minorHAnsi" w:hAnsiTheme="minorHAnsi" w:cstheme="minorHAnsi"/>
                <w:sz w:val="20"/>
                <w:szCs w:val="20"/>
                <w:lang w:val="en-ZA"/>
              </w:rPr>
            </w:pPr>
            <w:r w:rsidRPr="0064474B">
              <w:rPr>
                <w:rFonts w:asciiTheme="minorHAnsi" w:hAnsiTheme="minorHAnsi" w:cstheme="minorHAnsi"/>
                <w:b/>
                <w:sz w:val="20"/>
                <w:szCs w:val="20"/>
              </w:rPr>
              <w:t>Auxiliary Charges</w:t>
            </w:r>
            <w:r w:rsidRPr="0064474B">
              <w:rPr>
                <w:rFonts w:asciiTheme="minorHAnsi" w:hAnsiTheme="minorHAnsi" w:cstheme="minorHAnsi"/>
                <w:sz w:val="20"/>
                <w:szCs w:val="20"/>
              </w:rPr>
              <w:t xml:space="preserve">: </w:t>
            </w:r>
            <w:r w:rsidRPr="0064474B">
              <w:rPr>
                <w:rFonts w:asciiTheme="minorHAnsi" w:hAnsiTheme="minorHAnsi" w:cstheme="minorHAnsi"/>
                <w:sz w:val="20"/>
                <w:szCs w:val="20"/>
                <w:lang w:val="en-ZA"/>
              </w:rPr>
              <w:t xml:space="preserve">The auxiliary percentage was decreased from 55% to 30% during the lockdown period and until 30 June 2020. </w:t>
            </w:r>
          </w:p>
          <w:p w:rsidR="00B74F6D" w:rsidRPr="0064474B" w:rsidRDefault="00B74F6D" w:rsidP="00183B94">
            <w:pPr>
              <w:spacing w:after="80"/>
              <w:contextualSpacing/>
              <w:mirrorIndents/>
              <w:jc w:val="both"/>
              <w:rPr>
                <w:rFonts w:cstheme="minorHAnsi"/>
                <w:sz w:val="20"/>
                <w:szCs w:val="20"/>
              </w:rPr>
            </w:pPr>
            <w:r w:rsidRPr="0064474B">
              <w:rPr>
                <w:rFonts w:cstheme="minorHAnsi"/>
                <w:sz w:val="20"/>
                <w:szCs w:val="20"/>
              </w:rPr>
              <w:t>It will now work and based on any outstanding debt still on the account and the following table will be considered:</w:t>
            </w:r>
          </w:p>
          <w:p w:rsidR="00B74F6D" w:rsidRPr="0064474B" w:rsidRDefault="00B74F6D" w:rsidP="00183B94">
            <w:pPr>
              <w:pStyle w:val="Heading2btext"/>
              <w:numPr>
                <w:ilvl w:val="0"/>
                <w:numId w:val="4"/>
              </w:numPr>
              <w:spacing w:before="0" w:after="80"/>
              <w:ind w:left="0"/>
              <w:contextualSpacing/>
              <w:rPr>
                <w:rFonts w:asciiTheme="minorHAnsi" w:hAnsiTheme="minorHAnsi" w:cstheme="minorHAnsi"/>
                <w:sz w:val="20"/>
                <w:szCs w:val="20"/>
                <w:lang w:val="en-ZA"/>
              </w:rPr>
            </w:pPr>
            <w:r w:rsidRPr="0064474B">
              <w:rPr>
                <w:rFonts w:asciiTheme="minorHAnsi" w:hAnsiTheme="minorHAnsi" w:cstheme="minorHAnsi"/>
                <w:sz w:val="20"/>
                <w:szCs w:val="20"/>
                <w:lang w:val="en-ZA"/>
              </w:rPr>
              <w:t>40% from 14 August 2020</w:t>
            </w:r>
          </w:p>
          <w:p w:rsidR="00B74F6D" w:rsidRPr="0064474B" w:rsidRDefault="00B74F6D" w:rsidP="00183B94">
            <w:pPr>
              <w:pStyle w:val="Heading2btext"/>
              <w:numPr>
                <w:ilvl w:val="0"/>
                <w:numId w:val="4"/>
              </w:numPr>
              <w:spacing w:before="0" w:after="80"/>
              <w:ind w:left="0"/>
              <w:contextualSpacing/>
              <w:rPr>
                <w:rFonts w:asciiTheme="minorHAnsi" w:hAnsiTheme="minorHAnsi" w:cstheme="minorHAnsi"/>
                <w:sz w:val="20"/>
                <w:szCs w:val="20"/>
                <w:lang w:val="en-ZA"/>
              </w:rPr>
            </w:pPr>
            <w:r w:rsidRPr="0064474B">
              <w:rPr>
                <w:rFonts w:asciiTheme="minorHAnsi" w:hAnsiTheme="minorHAnsi" w:cstheme="minorHAnsi"/>
                <w:sz w:val="20"/>
                <w:szCs w:val="20"/>
                <w:lang w:val="en-ZA"/>
              </w:rPr>
              <w:t>45% from 15 September 2020</w:t>
            </w:r>
          </w:p>
          <w:p w:rsidR="00B74F6D" w:rsidRPr="0064474B" w:rsidRDefault="00B74F6D" w:rsidP="00183B94">
            <w:pPr>
              <w:pStyle w:val="Heading2btext"/>
              <w:numPr>
                <w:ilvl w:val="0"/>
                <w:numId w:val="4"/>
              </w:numPr>
              <w:spacing w:before="0" w:after="80"/>
              <w:ind w:left="0"/>
              <w:contextualSpacing/>
              <w:rPr>
                <w:rFonts w:asciiTheme="minorHAnsi" w:hAnsiTheme="minorHAnsi" w:cstheme="minorHAnsi"/>
                <w:sz w:val="20"/>
                <w:szCs w:val="20"/>
                <w:lang w:val="en-ZA"/>
              </w:rPr>
            </w:pPr>
            <w:r w:rsidRPr="0064474B">
              <w:rPr>
                <w:rFonts w:asciiTheme="minorHAnsi" w:hAnsiTheme="minorHAnsi" w:cstheme="minorHAnsi"/>
                <w:sz w:val="20"/>
                <w:szCs w:val="20"/>
                <w:lang w:val="en-ZA"/>
              </w:rPr>
              <w:t>50% from 15 October 2020</w:t>
            </w:r>
          </w:p>
          <w:p w:rsidR="00B74F6D" w:rsidRPr="0064474B" w:rsidRDefault="00B74F6D" w:rsidP="00183B94">
            <w:pPr>
              <w:pStyle w:val="Heading2btext"/>
              <w:numPr>
                <w:ilvl w:val="0"/>
                <w:numId w:val="4"/>
              </w:numPr>
              <w:spacing w:before="0" w:after="80"/>
              <w:ind w:left="0"/>
              <w:contextualSpacing/>
              <w:rPr>
                <w:rFonts w:asciiTheme="minorHAnsi" w:hAnsiTheme="minorHAnsi" w:cstheme="minorHAnsi"/>
                <w:sz w:val="20"/>
                <w:szCs w:val="20"/>
                <w:lang w:val="en-ZA"/>
              </w:rPr>
            </w:pPr>
            <w:r w:rsidRPr="0064474B">
              <w:rPr>
                <w:rFonts w:asciiTheme="minorHAnsi" w:hAnsiTheme="minorHAnsi" w:cstheme="minorHAnsi"/>
                <w:sz w:val="20"/>
                <w:szCs w:val="20"/>
                <w:lang w:val="en-ZA"/>
              </w:rPr>
              <w:t>55% from 13 November 2020.</w:t>
            </w:r>
          </w:p>
          <w:p w:rsidR="00B74F6D" w:rsidRPr="0064474B" w:rsidRDefault="00B74F6D" w:rsidP="00183B94">
            <w:pPr>
              <w:pStyle w:val="Heading2btext"/>
              <w:spacing w:before="0" w:after="80"/>
              <w:contextualSpacing/>
              <w:rPr>
                <w:rFonts w:asciiTheme="minorHAnsi" w:hAnsiTheme="minorHAnsi" w:cstheme="minorHAnsi"/>
                <w:i/>
                <w:sz w:val="20"/>
                <w:szCs w:val="20"/>
                <w:lang w:val="en-ZA"/>
              </w:rPr>
            </w:pPr>
            <w:r w:rsidRPr="0064474B">
              <w:rPr>
                <w:rFonts w:asciiTheme="minorHAnsi" w:hAnsiTheme="minorHAnsi" w:cstheme="minorHAnsi"/>
                <w:i/>
                <w:sz w:val="20"/>
                <w:szCs w:val="20"/>
                <w:lang w:val="en-ZA"/>
              </w:rPr>
              <w:t>This will only apply when electricity is bought and the electricity units that is bought will be reduced by the percentage.</w:t>
            </w:r>
          </w:p>
        </w:tc>
      </w:tr>
      <w:tr w:rsidR="00B74F6D" w:rsidRPr="0064474B" w:rsidTr="007539B9">
        <w:tc>
          <w:tcPr>
            <w:tcW w:w="4508" w:type="dxa"/>
          </w:tcPr>
          <w:p w:rsidR="001D64CE" w:rsidRPr="0064474B" w:rsidRDefault="001D64CE" w:rsidP="00183B94">
            <w:pPr>
              <w:spacing w:after="80"/>
              <w:contextualSpacing/>
              <w:jc w:val="both"/>
              <w:rPr>
                <w:rFonts w:eastAsia="Times New Roman" w:cstheme="minorHAnsi"/>
                <w:b/>
                <w:bCs/>
                <w:sz w:val="20"/>
                <w:szCs w:val="20"/>
                <w:u w:val="single"/>
              </w:rPr>
            </w:pPr>
            <w:r w:rsidRPr="0064474B">
              <w:rPr>
                <w:rFonts w:eastAsia="Times New Roman" w:cstheme="minorHAnsi"/>
                <w:b/>
                <w:bCs/>
                <w:sz w:val="20"/>
                <w:szCs w:val="20"/>
                <w:u w:val="single"/>
              </w:rPr>
              <w:t xml:space="preserve">PAYMENT ARRANGEMENTS: </w:t>
            </w:r>
          </w:p>
          <w:p w:rsidR="001D64CE" w:rsidRPr="0064474B" w:rsidRDefault="0064474B" w:rsidP="00183B94">
            <w:pPr>
              <w:spacing w:after="80"/>
              <w:contextualSpacing/>
              <w:jc w:val="both"/>
              <w:rPr>
                <w:rFonts w:cstheme="minorHAnsi"/>
                <w:sz w:val="20"/>
                <w:szCs w:val="20"/>
              </w:rPr>
            </w:pPr>
            <w:r>
              <w:rPr>
                <w:rFonts w:cstheme="minorHAnsi"/>
                <w:sz w:val="20"/>
                <w:szCs w:val="20"/>
              </w:rPr>
              <w:t>R</w:t>
            </w:r>
            <w:r w:rsidR="001D64CE" w:rsidRPr="0064474B">
              <w:rPr>
                <w:rFonts w:cstheme="minorHAnsi"/>
                <w:sz w:val="20"/>
                <w:szCs w:val="20"/>
              </w:rPr>
              <w:t>esidential payment arrangement option available:</w:t>
            </w:r>
          </w:p>
          <w:p w:rsidR="001D64CE" w:rsidRPr="0064474B" w:rsidRDefault="001D64CE" w:rsidP="00183B94">
            <w:pPr>
              <w:numPr>
                <w:ilvl w:val="0"/>
                <w:numId w:val="10"/>
              </w:numPr>
              <w:spacing w:after="80"/>
              <w:ind w:left="0"/>
              <w:contextualSpacing/>
              <w:jc w:val="both"/>
              <w:rPr>
                <w:rFonts w:eastAsia="Times New Roman" w:cstheme="minorHAnsi"/>
                <w:sz w:val="20"/>
                <w:szCs w:val="20"/>
              </w:rPr>
            </w:pPr>
            <w:r w:rsidRPr="0064474B">
              <w:rPr>
                <w:rFonts w:eastAsia="Times New Roman" w:cstheme="minorHAnsi"/>
                <w:sz w:val="20"/>
                <w:szCs w:val="20"/>
              </w:rPr>
              <w:t>Period from 1-12 months:</w:t>
            </w:r>
          </w:p>
          <w:p w:rsidR="001D64CE" w:rsidRPr="0064474B" w:rsidRDefault="001D64CE" w:rsidP="00183B94">
            <w:pPr>
              <w:numPr>
                <w:ilvl w:val="1"/>
                <w:numId w:val="7"/>
              </w:numPr>
              <w:spacing w:after="80"/>
              <w:ind w:left="0"/>
              <w:contextualSpacing/>
              <w:jc w:val="both"/>
              <w:rPr>
                <w:rFonts w:eastAsia="Times New Roman" w:cstheme="minorHAnsi"/>
                <w:sz w:val="20"/>
                <w:szCs w:val="20"/>
              </w:rPr>
            </w:pPr>
            <w:r w:rsidRPr="0064474B">
              <w:rPr>
                <w:rFonts w:eastAsia="Times New Roman" w:cstheme="minorHAnsi"/>
                <w:sz w:val="20"/>
                <w:szCs w:val="20"/>
              </w:rPr>
              <w:t>Deposit of 10%</w:t>
            </w:r>
          </w:p>
          <w:p w:rsidR="001D64CE" w:rsidRPr="0064474B" w:rsidRDefault="001D64CE" w:rsidP="00183B94">
            <w:pPr>
              <w:numPr>
                <w:ilvl w:val="1"/>
                <w:numId w:val="7"/>
              </w:numPr>
              <w:spacing w:after="80"/>
              <w:ind w:left="0"/>
              <w:contextualSpacing/>
              <w:jc w:val="both"/>
              <w:rPr>
                <w:rFonts w:eastAsia="Times New Roman" w:cstheme="minorHAnsi"/>
                <w:sz w:val="20"/>
                <w:szCs w:val="20"/>
              </w:rPr>
            </w:pPr>
            <w:r w:rsidRPr="0064474B">
              <w:rPr>
                <w:rFonts w:eastAsia="Times New Roman" w:cstheme="minorHAnsi"/>
                <w:sz w:val="20"/>
                <w:szCs w:val="20"/>
              </w:rPr>
              <w:t>Normal Interest</w:t>
            </w:r>
          </w:p>
          <w:p w:rsidR="001D64CE" w:rsidRPr="0064474B" w:rsidRDefault="001D64CE" w:rsidP="00183B94">
            <w:pPr>
              <w:numPr>
                <w:ilvl w:val="1"/>
                <w:numId w:val="7"/>
              </w:numPr>
              <w:spacing w:after="80"/>
              <w:ind w:left="0"/>
              <w:contextualSpacing/>
              <w:jc w:val="both"/>
              <w:rPr>
                <w:rFonts w:eastAsia="Times New Roman" w:cstheme="minorHAnsi"/>
                <w:sz w:val="20"/>
                <w:szCs w:val="20"/>
              </w:rPr>
            </w:pPr>
            <w:r w:rsidRPr="0064474B">
              <w:rPr>
                <w:rFonts w:eastAsia="Times New Roman" w:cstheme="minorHAnsi"/>
                <w:sz w:val="20"/>
                <w:szCs w:val="20"/>
              </w:rPr>
              <w:t>No auxiliaries</w:t>
            </w:r>
          </w:p>
          <w:p w:rsidR="00B74F6D" w:rsidRPr="0064474B" w:rsidRDefault="00B74F6D" w:rsidP="00183B94">
            <w:pPr>
              <w:spacing w:after="80"/>
              <w:contextualSpacing/>
              <w:mirrorIndents/>
              <w:jc w:val="both"/>
              <w:rPr>
                <w:rFonts w:cstheme="minorHAnsi"/>
                <w:sz w:val="20"/>
                <w:szCs w:val="20"/>
              </w:rPr>
            </w:pPr>
          </w:p>
        </w:tc>
        <w:tc>
          <w:tcPr>
            <w:tcW w:w="4508" w:type="dxa"/>
          </w:tcPr>
          <w:p w:rsidR="001D64CE" w:rsidRPr="0064474B" w:rsidRDefault="001D64CE" w:rsidP="00183B94">
            <w:pPr>
              <w:spacing w:after="80"/>
              <w:contextualSpacing/>
              <w:jc w:val="both"/>
              <w:rPr>
                <w:rFonts w:eastAsia="Times New Roman" w:cstheme="minorHAnsi"/>
                <w:sz w:val="20"/>
                <w:szCs w:val="20"/>
              </w:rPr>
            </w:pPr>
            <w:r w:rsidRPr="0064474B">
              <w:rPr>
                <w:rFonts w:eastAsia="Times New Roman" w:cstheme="minorHAnsi"/>
                <w:b/>
                <w:bCs/>
                <w:sz w:val="20"/>
                <w:szCs w:val="20"/>
                <w:u w:val="single"/>
              </w:rPr>
              <w:t>PAYMENT ARRANGEMENTS:</w:t>
            </w:r>
          </w:p>
          <w:p w:rsidR="001D64CE" w:rsidRPr="0064474B" w:rsidRDefault="001D64CE" w:rsidP="00183B94">
            <w:pPr>
              <w:spacing w:after="80"/>
              <w:contextualSpacing/>
              <w:jc w:val="both"/>
              <w:rPr>
                <w:rFonts w:cstheme="minorHAnsi"/>
                <w:sz w:val="20"/>
                <w:szCs w:val="20"/>
              </w:rPr>
            </w:pPr>
            <w:r w:rsidRPr="0064474B">
              <w:rPr>
                <w:rFonts w:cstheme="minorHAnsi"/>
                <w:sz w:val="20"/>
                <w:szCs w:val="20"/>
              </w:rPr>
              <w:t xml:space="preserve">2 different business payment arrangement options </w:t>
            </w:r>
            <w:r w:rsidR="0064474B">
              <w:rPr>
                <w:rFonts w:cstheme="minorHAnsi"/>
                <w:sz w:val="20"/>
                <w:szCs w:val="20"/>
              </w:rPr>
              <w:t xml:space="preserve">are </w:t>
            </w:r>
            <w:r w:rsidRPr="0064474B">
              <w:rPr>
                <w:rFonts w:cstheme="minorHAnsi"/>
                <w:sz w:val="20"/>
                <w:szCs w:val="20"/>
              </w:rPr>
              <w:t>available:</w:t>
            </w:r>
          </w:p>
          <w:p w:rsidR="001D64CE" w:rsidRPr="0064474B" w:rsidRDefault="001D64CE" w:rsidP="00183B94">
            <w:pPr>
              <w:numPr>
                <w:ilvl w:val="0"/>
                <w:numId w:val="9"/>
              </w:numPr>
              <w:spacing w:after="80"/>
              <w:ind w:left="0"/>
              <w:contextualSpacing/>
              <w:jc w:val="both"/>
              <w:rPr>
                <w:rFonts w:eastAsia="Times New Roman" w:cstheme="minorHAnsi"/>
                <w:sz w:val="20"/>
                <w:szCs w:val="20"/>
              </w:rPr>
            </w:pPr>
            <w:r w:rsidRPr="0064474B">
              <w:rPr>
                <w:rFonts w:eastAsia="Times New Roman" w:cstheme="minorHAnsi"/>
                <w:sz w:val="20"/>
                <w:szCs w:val="20"/>
              </w:rPr>
              <w:t>Period of up to 6 months (Only open for application until 15 September 2020):</w:t>
            </w:r>
          </w:p>
          <w:p w:rsidR="001D64CE" w:rsidRPr="0064474B" w:rsidRDefault="001D64CE" w:rsidP="00183B94">
            <w:pPr>
              <w:numPr>
                <w:ilvl w:val="1"/>
                <w:numId w:val="7"/>
              </w:numPr>
              <w:spacing w:after="80"/>
              <w:ind w:left="0"/>
              <w:contextualSpacing/>
              <w:jc w:val="both"/>
              <w:rPr>
                <w:rFonts w:eastAsia="Times New Roman" w:cstheme="minorHAnsi"/>
                <w:sz w:val="20"/>
                <w:szCs w:val="20"/>
              </w:rPr>
            </w:pPr>
            <w:r w:rsidRPr="0064474B">
              <w:rPr>
                <w:rFonts w:eastAsia="Times New Roman" w:cstheme="minorHAnsi"/>
                <w:sz w:val="20"/>
                <w:szCs w:val="20"/>
              </w:rPr>
              <w:t>No deposit</w:t>
            </w:r>
          </w:p>
          <w:p w:rsidR="001D64CE" w:rsidRPr="0064474B" w:rsidRDefault="001D64CE" w:rsidP="00183B94">
            <w:pPr>
              <w:numPr>
                <w:ilvl w:val="1"/>
                <w:numId w:val="7"/>
              </w:numPr>
              <w:spacing w:after="80"/>
              <w:ind w:left="0"/>
              <w:contextualSpacing/>
              <w:jc w:val="both"/>
              <w:rPr>
                <w:rFonts w:eastAsia="Times New Roman" w:cstheme="minorHAnsi"/>
                <w:sz w:val="20"/>
                <w:szCs w:val="20"/>
              </w:rPr>
            </w:pPr>
            <w:r w:rsidRPr="0064474B">
              <w:rPr>
                <w:rFonts w:eastAsia="Times New Roman" w:cstheme="minorHAnsi"/>
                <w:sz w:val="20"/>
                <w:szCs w:val="20"/>
              </w:rPr>
              <w:t>No Interest</w:t>
            </w:r>
          </w:p>
          <w:p w:rsidR="001D64CE" w:rsidRPr="0064474B" w:rsidRDefault="001D64CE" w:rsidP="00183B94">
            <w:pPr>
              <w:numPr>
                <w:ilvl w:val="1"/>
                <w:numId w:val="7"/>
              </w:numPr>
              <w:spacing w:after="80"/>
              <w:ind w:left="0"/>
              <w:contextualSpacing/>
              <w:jc w:val="both"/>
              <w:rPr>
                <w:rFonts w:eastAsia="Times New Roman" w:cstheme="minorHAnsi"/>
                <w:sz w:val="20"/>
                <w:szCs w:val="20"/>
              </w:rPr>
            </w:pPr>
            <w:r w:rsidRPr="0064474B">
              <w:rPr>
                <w:rFonts w:eastAsia="Times New Roman" w:cstheme="minorHAnsi"/>
                <w:sz w:val="20"/>
                <w:szCs w:val="20"/>
              </w:rPr>
              <w:t>No auxiliaries</w:t>
            </w:r>
          </w:p>
          <w:p w:rsidR="001D64CE" w:rsidRPr="0064474B" w:rsidRDefault="001D64CE" w:rsidP="00183B94">
            <w:pPr>
              <w:numPr>
                <w:ilvl w:val="0"/>
                <w:numId w:val="9"/>
              </w:numPr>
              <w:spacing w:after="80"/>
              <w:ind w:left="0"/>
              <w:contextualSpacing/>
              <w:jc w:val="both"/>
              <w:rPr>
                <w:rFonts w:eastAsia="Times New Roman" w:cstheme="minorHAnsi"/>
                <w:sz w:val="20"/>
                <w:szCs w:val="20"/>
              </w:rPr>
            </w:pPr>
            <w:r w:rsidRPr="0064474B">
              <w:rPr>
                <w:rFonts w:eastAsia="Times New Roman" w:cstheme="minorHAnsi"/>
                <w:sz w:val="20"/>
                <w:szCs w:val="20"/>
              </w:rPr>
              <w:t>Period from 7-12 months:</w:t>
            </w:r>
          </w:p>
          <w:p w:rsidR="001D64CE" w:rsidRPr="0064474B" w:rsidRDefault="001D64CE" w:rsidP="00183B94">
            <w:pPr>
              <w:numPr>
                <w:ilvl w:val="1"/>
                <w:numId w:val="7"/>
              </w:numPr>
              <w:spacing w:after="80"/>
              <w:ind w:left="0"/>
              <w:contextualSpacing/>
              <w:jc w:val="both"/>
              <w:rPr>
                <w:rFonts w:eastAsia="Times New Roman" w:cstheme="minorHAnsi"/>
                <w:sz w:val="20"/>
                <w:szCs w:val="20"/>
              </w:rPr>
            </w:pPr>
            <w:r w:rsidRPr="0064474B">
              <w:rPr>
                <w:rFonts w:eastAsia="Times New Roman" w:cstheme="minorHAnsi"/>
                <w:sz w:val="20"/>
                <w:szCs w:val="20"/>
              </w:rPr>
              <w:t>Deposit of 10%</w:t>
            </w:r>
          </w:p>
          <w:p w:rsidR="001D64CE" w:rsidRPr="0064474B" w:rsidRDefault="001D64CE" w:rsidP="00183B94">
            <w:pPr>
              <w:numPr>
                <w:ilvl w:val="1"/>
                <w:numId w:val="7"/>
              </w:numPr>
              <w:spacing w:after="80"/>
              <w:ind w:left="0"/>
              <w:contextualSpacing/>
              <w:jc w:val="both"/>
              <w:rPr>
                <w:rFonts w:eastAsia="Times New Roman" w:cstheme="minorHAnsi"/>
                <w:sz w:val="20"/>
                <w:szCs w:val="20"/>
              </w:rPr>
            </w:pPr>
            <w:r w:rsidRPr="0064474B">
              <w:rPr>
                <w:rFonts w:eastAsia="Times New Roman" w:cstheme="minorHAnsi"/>
                <w:sz w:val="20"/>
                <w:szCs w:val="20"/>
              </w:rPr>
              <w:t>Normal Interest</w:t>
            </w:r>
          </w:p>
          <w:p w:rsidR="00B74F6D" w:rsidRPr="0064474B" w:rsidRDefault="001D64CE" w:rsidP="00183B94">
            <w:pPr>
              <w:numPr>
                <w:ilvl w:val="1"/>
                <w:numId w:val="7"/>
              </w:numPr>
              <w:spacing w:after="80"/>
              <w:ind w:left="0"/>
              <w:contextualSpacing/>
              <w:jc w:val="both"/>
              <w:rPr>
                <w:rFonts w:eastAsia="Times New Roman" w:cstheme="minorHAnsi"/>
                <w:sz w:val="20"/>
                <w:szCs w:val="20"/>
              </w:rPr>
            </w:pPr>
            <w:r w:rsidRPr="0064474B">
              <w:rPr>
                <w:rFonts w:eastAsia="Times New Roman" w:cstheme="minorHAnsi"/>
                <w:sz w:val="20"/>
                <w:szCs w:val="20"/>
              </w:rPr>
              <w:t>No auxiliaries</w:t>
            </w:r>
          </w:p>
        </w:tc>
      </w:tr>
      <w:tr w:rsidR="00B74F6D" w:rsidRPr="0064474B" w:rsidTr="007539B9">
        <w:tc>
          <w:tcPr>
            <w:tcW w:w="4508" w:type="dxa"/>
          </w:tcPr>
          <w:p w:rsidR="00B74F6D" w:rsidRPr="0064474B" w:rsidRDefault="00B74F6D" w:rsidP="00183B94">
            <w:pPr>
              <w:spacing w:after="80"/>
              <w:contextualSpacing/>
              <w:mirrorIndents/>
              <w:jc w:val="both"/>
              <w:rPr>
                <w:rFonts w:cstheme="minorHAnsi"/>
                <w:sz w:val="20"/>
                <w:szCs w:val="20"/>
              </w:rPr>
            </w:pPr>
            <w:r w:rsidRPr="0064474B">
              <w:rPr>
                <w:rFonts w:cstheme="minorHAnsi"/>
                <w:b/>
                <w:sz w:val="20"/>
                <w:szCs w:val="20"/>
              </w:rPr>
              <w:t>Handed over for collection</w:t>
            </w:r>
            <w:r w:rsidRPr="0064474B">
              <w:rPr>
                <w:rFonts w:cstheme="minorHAnsi"/>
                <w:sz w:val="20"/>
                <w:szCs w:val="20"/>
              </w:rPr>
              <w:t>: Without any arrangement for paying off and still outstanding balance</w:t>
            </w:r>
          </w:p>
        </w:tc>
        <w:tc>
          <w:tcPr>
            <w:tcW w:w="4508" w:type="dxa"/>
          </w:tcPr>
          <w:p w:rsidR="00B74F6D" w:rsidRPr="0064474B" w:rsidRDefault="00B74F6D" w:rsidP="00183B94">
            <w:pPr>
              <w:spacing w:after="80"/>
              <w:contextualSpacing/>
              <w:mirrorIndents/>
              <w:jc w:val="both"/>
              <w:rPr>
                <w:rFonts w:cstheme="minorHAnsi"/>
                <w:sz w:val="20"/>
                <w:szCs w:val="20"/>
              </w:rPr>
            </w:pPr>
            <w:r w:rsidRPr="0064474B">
              <w:rPr>
                <w:rFonts w:cstheme="minorHAnsi"/>
                <w:b/>
                <w:sz w:val="20"/>
                <w:szCs w:val="20"/>
              </w:rPr>
              <w:t>Handed over for collection</w:t>
            </w:r>
            <w:r w:rsidRPr="0064474B">
              <w:rPr>
                <w:rFonts w:cstheme="minorHAnsi"/>
                <w:sz w:val="20"/>
                <w:szCs w:val="20"/>
              </w:rPr>
              <w:t>: Without any arrangement for paying off and still outstanding balance</w:t>
            </w:r>
          </w:p>
        </w:tc>
      </w:tr>
    </w:tbl>
    <w:p w:rsidR="001D64CE" w:rsidRPr="0064474B" w:rsidRDefault="001D64CE" w:rsidP="0064474B">
      <w:pPr>
        <w:pStyle w:val="Heading2btext"/>
        <w:spacing w:before="0" w:after="120" w:line="276" w:lineRule="auto"/>
        <w:rPr>
          <w:rFonts w:asciiTheme="minorHAnsi" w:hAnsiTheme="minorHAnsi" w:cstheme="minorHAnsi"/>
          <w:sz w:val="8"/>
          <w:szCs w:val="8"/>
          <w:lang w:val="en-ZA"/>
        </w:rPr>
      </w:pPr>
    </w:p>
    <w:p w:rsidR="0049264C" w:rsidRPr="0064474B" w:rsidRDefault="0049264C" w:rsidP="0064474B">
      <w:pPr>
        <w:pStyle w:val="NormalWeb"/>
        <w:shd w:val="clear" w:color="auto" w:fill="FFFFFF"/>
        <w:spacing w:before="0" w:beforeAutospacing="0" w:after="120" w:afterAutospacing="0" w:line="276" w:lineRule="auto"/>
        <w:jc w:val="both"/>
        <w:rPr>
          <w:rFonts w:asciiTheme="minorHAnsi" w:hAnsiTheme="minorHAnsi" w:cstheme="minorHAnsi"/>
          <w:color w:val="333333"/>
          <w:sz w:val="20"/>
          <w:szCs w:val="20"/>
        </w:rPr>
      </w:pPr>
      <w:r w:rsidRPr="0064474B">
        <w:rPr>
          <w:rFonts w:asciiTheme="minorHAnsi" w:hAnsiTheme="minorHAnsi" w:cstheme="minorHAnsi"/>
          <w:color w:val="333333"/>
          <w:sz w:val="20"/>
          <w:szCs w:val="20"/>
        </w:rPr>
        <w:t xml:space="preserve">The municipality is calling on residents who are within the income brackets as stated below, to </w:t>
      </w:r>
      <w:r w:rsidRPr="0064474B">
        <w:rPr>
          <w:rFonts w:asciiTheme="minorHAnsi" w:hAnsiTheme="minorHAnsi" w:cstheme="minorHAnsi"/>
          <w:b/>
          <w:i/>
          <w:color w:val="FF0000"/>
          <w:sz w:val="20"/>
          <w:szCs w:val="20"/>
        </w:rPr>
        <w:t>contact Debtpack (</w:t>
      </w:r>
      <w:r w:rsidRPr="0064474B">
        <w:rPr>
          <w:rFonts w:asciiTheme="minorHAnsi" w:hAnsiTheme="minorHAnsi" w:cstheme="minorHAnsi"/>
          <w:b/>
          <w:i/>
          <w:color w:val="FF0000"/>
          <w:sz w:val="20"/>
          <w:szCs w:val="20"/>
          <w:lang w:val="en-US"/>
        </w:rPr>
        <w:t>044 620 4480)</w:t>
      </w:r>
      <w:r w:rsidRPr="0064474B">
        <w:rPr>
          <w:rFonts w:asciiTheme="minorHAnsi" w:hAnsiTheme="minorHAnsi" w:cstheme="minorHAnsi"/>
          <w:b/>
          <w:i/>
          <w:color w:val="FF0000"/>
          <w:sz w:val="20"/>
          <w:szCs w:val="20"/>
        </w:rPr>
        <w:t xml:space="preserve"> or visit any of the Debtpack offices</w:t>
      </w:r>
      <w:r w:rsidRPr="0064474B">
        <w:rPr>
          <w:rFonts w:asciiTheme="minorHAnsi" w:hAnsiTheme="minorHAnsi" w:cstheme="minorHAnsi"/>
          <w:color w:val="FF0000"/>
          <w:sz w:val="20"/>
          <w:szCs w:val="20"/>
        </w:rPr>
        <w:t xml:space="preserve"> </w:t>
      </w:r>
      <w:r w:rsidRPr="0064474B">
        <w:rPr>
          <w:rFonts w:asciiTheme="minorHAnsi" w:hAnsiTheme="minorHAnsi" w:cstheme="minorHAnsi"/>
          <w:color w:val="333333"/>
          <w:sz w:val="20"/>
          <w:szCs w:val="20"/>
        </w:rPr>
        <w:t>to ensure that those who qualify based on household income receive rebates on their municipal account as per approved policy.</w:t>
      </w:r>
    </w:p>
    <w:p w:rsidR="0049264C" w:rsidRPr="0064474B" w:rsidRDefault="0049264C" w:rsidP="0064474B">
      <w:pPr>
        <w:pStyle w:val="NormalWeb"/>
        <w:shd w:val="clear" w:color="auto" w:fill="FFFFFF"/>
        <w:spacing w:before="0" w:beforeAutospacing="0" w:after="120" w:afterAutospacing="0" w:line="276" w:lineRule="auto"/>
        <w:jc w:val="both"/>
        <w:rPr>
          <w:rFonts w:asciiTheme="minorHAnsi" w:hAnsiTheme="minorHAnsi" w:cstheme="minorHAnsi"/>
          <w:color w:val="333333"/>
          <w:sz w:val="20"/>
          <w:szCs w:val="20"/>
        </w:rPr>
      </w:pPr>
      <w:r w:rsidRPr="0064474B">
        <w:rPr>
          <w:rFonts w:asciiTheme="minorHAnsi" w:hAnsiTheme="minorHAnsi" w:cstheme="minorHAnsi"/>
          <w:color w:val="333333"/>
          <w:sz w:val="20"/>
          <w:szCs w:val="20"/>
        </w:rPr>
        <w:t>There are 3 categories of Indigent rebates</w:t>
      </w:r>
      <w:r w:rsidR="00183B94">
        <w:rPr>
          <w:rFonts w:asciiTheme="minorHAnsi" w:hAnsiTheme="minorHAnsi" w:cstheme="minorHAnsi"/>
          <w:color w:val="333333"/>
          <w:sz w:val="20"/>
          <w:szCs w:val="20"/>
        </w:rPr>
        <w:t xml:space="preserve">, </w:t>
      </w:r>
      <w:r w:rsidRPr="0064474B">
        <w:rPr>
          <w:rFonts w:asciiTheme="minorHAnsi" w:hAnsiTheme="minorHAnsi" w:cstheme="minorHAnsi"/>
          <w:color w:val="333333"/>
          <w:sz w:val="20"/>
          <w:szCs w:val="20"/>
        </w:rPr>
        <w:t>explained as follows: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55"/>
        <w:gridCol w:w="435"/>
        <w:gridCol w:w="2227"/>
        <w:gridCol w:w="321"/>
        <w:gridCol w:w="2227"/>
        <w:gridCol w:w="321"/>
        <w:gridCol w:w="2310"/>
      </w:tblGrid>
      <w:tr w:rsidR="0049264C" w:rsidRPr="0064474B" w:rsidTr="0064474B">
        <w:tc>
          <w:tcPr>
            <w:tcW w:w="1096" w:type="dxa"/>
            <w:vAlign w:val="center"/>
          </w:tcPr>
          <w:p w:rsidR="0049264C" w:rsidRPr="0064474B" w:rsidRDefault="0049264C" w:rsidP="00183B94">
            <w:pPr>
              <w:spacing w:after="120"/>
              <w:jc w:val="center"/>
              <w:rPr>
                <w:rFonts w:cstheme="minorHAnsi"/>
                <w:b/>
                <w:sz w:val="20"/>
                <w:szCs w:val="20"/>
              </w:rPr>
            </w:pPr>
            <w:r w:rsidRPr="0064474B">
              <w:rPr>
                <w:rFonts w:cstheme="minorHAnsi"/>
                <w:b/>
                <w:sz w:val="20"/>
                <w:szCs w:val="20"/>
              </w:rPr>
              <w:t>Indigent</w:t>
            </w:r>
          </w:p>
        </w:tc>
        <w:tc>
          <w:tcPr>
            <w:tcW w:w="2683" w:type="dxa"/>
            <w:gridSpan w:val="2"/>
            <w:vAlign w:val="center"/>
          </w:tcPr>
          <w:p w:rsidR="0049264C" w:rsidRPr="0064474B" w:rsidRDefault="0049264C" w:rsidP="00183B94">
            <w:pPr>
              <w:spacing w:after="120"/>
              <w:jc w:val="center"/>
              <w:rPr>
                <w:rFonts w:cstheme="minorHAnsi"/>
                <w:b/>
                <w:sz w:val="20"/>
                <w:szCs w:val="20"/>
              </w:rPr>
            </w:pPr>
            <w:r w:rsidRPr="0064474B">
              <w:rPr>
                <w:rFonts w:cstheme="minorHAnsi"/>
                <w:b/>
                <w:sz w:val="20"/>
                <w:szCs w:val="20"/>
              </w:rPr>
              <w:t>LEVEL ONE: INCOME</w:t>
            </w:r>
          </w:p>
        </w:tc>
        <w:tc>
          <w:tcPr>
            <w:tcW w:w="2567" w:type="dxa"/>
            <w:gridSpan w:val="2"/>
            <w:vAlign w:val="center"/>
          </w:tcPr>
          <w:p w:rsidR="0049264C" w:rsidRPr="0064474B" w:rsidRDefault="0049264C" w:rsidP="00183B94">
            <w:pPr>
              <w:spacing w:after="120"/>
              <w:jc w:val="center"/>
              <w:rPr>
                <w:rFonts w:cstheme="minorHAnsi"/>
                <w:b/>
                <w:sz w:val="20"/>
                <w:szCs w:val="20"/>
              </w:rPr>
            </w:pPr>
            <w:r w:rsidRPr="0064474B">
              <w:rPr>
                <w:rFonts w:cstheme="minorHAnsi"/>
                <w:b/>
                <w:sz w:val="20"/>
                <w:szCs w:val="20"/>
              </w:rPr>
              <w:t>LEVEL TWO: INCOME</w:t>
            </w:r>
          </w:p>
        </w:tc>
        <w:tc>
          <w:tcPr>
            <w:tcW w:w="2650" w:type="dxa"/>
            <w:gridSpan w:val="2"/>
            <w:vAlign w:val="center"/>
          </w:tcPr>
          <w:p w:rsidR="0049264C" w:rsidRPr="0064474B" w:rsidRDefault="0049264C" w:rsidP="00183B94">
            <w:pPr>
              <w:spacing w:after="120"/>
              <w:jc w:val="center"/>
              <w:rPr>
                <w:rFonts w:cstheme="minorHAnsi"/>
                <w:b/>
                <w:sz w:val="20"/>
                <w:szCs w:val="20"/>
              </w:rPr>
            </w:pPr>
            <w:r w:rsidRPr="0064474B">
              <w:rPr>
                <w:rFonts w:cstheme="minorHAnsi"/>
                <w:b/>
                <w:sz w:val="20"/>
                <w:szCs w:val="20"/>
              </w:rPr>
              <w:t>INDIGENT: HOUSEHOLD HOUSING A PERSON WITH A DISABILITY</w:t>
            </w:r>
          </w:p>
        </w:tc>
      </w:tr>
      <w:tr w:rsidR="0064474B" w:rsidRPr="0064474B" w:rsidTr="00730280">
        <w:tc>
          <w:tcPr>
            <w:tcW w:w="1096" w:type="dxa"/>
            <w:vMerge w:val="restart"/>
            <w:textDirection w:val="tbRl"/>
          </w:tcPr>
          <w:p w:rsidR="0064474B" w:rsidRPr="0064474B" w:rsidRDefault="0064474B" w:rsidP="0064474B">
            <w:pPr>
              <w:spacing w:after="120" w:line="276" w:lineRule="auto"/>
              <w:ind w:left="113" w:right="113"/>
              <w:jc w:val="both"/>
              <w:rPr>
                <w:rFonts w:cstheme="minorHAnsi"/>
                <w:b/>
                <w:sz w:val="20"/>
                <w:szCs w:val="20"/>
              </w:rPr>
            </w:pPr>
          </w:p>
          <w:p w:rsidR="0064474B" w:rsidRPr="0064474B" w:rsidRDefault="0064474B" w:rsidP="00183B94">
            <w:pPr>
              <w:spacing w:after="120" w:line="276" w:lineRule="auto"/>
              <w:ind w:left="113" w:right="113"/>
              <w:jc w:val="center"/>
              <w:rPr>
                <w:rFonts w:cstheme="minorHAnsi"/>
                <w:b/>
                <w:sz w:val="24"/>
                <w:szCs w:val="24"/>
              </w:rPr>
            </w:pPr>
            <w:r w:rsidRPr="0064474B">
              <w:rPr>
                <w:rFonts w:cstheme="minorHAnsi"/>
                <w:b/>
                <w:sz w:val="24"/>
                <w:szCs w:val="24"/>
              </w:rPr>
              <w:t>Criteria</w:t>
            </w:r>
          </w:p>
        </w:tc>
        <w:tc>
          <w:tcPr>
            <w:tcW w:w="2683" w:type="dxa"/>
            <w:gridSpan w:val="2"/>
          </w:tcPr>
          <w:p w:rsidR="0064474B" w:rsidRPr="0064474B" w:rsidRDefault="0064474B" w:rsidP="00183B94">
            <w:pPr>
              <w:spacing w:after="120"/>
              <w:jc w:val="both"/>
              <w:rPr>
                <w:rFonts w:cstheme="minorHAnsi"/>
                <w:b/>
                <w:sz w:val="20"/>
                <w:szCs w:val="20"/>
              </w:rPr>
            </w:pPr>
            <w:r w:rsidRPr="0064474B">
              <w:rPr>
                <w:rFonts w:cstheme="minorHAnsi"/>
                <w:b/>
                <w:sz w:val="20"/>
                <w:szCs w:val="20"/>
              </w:rPr>
              <w:t>INCOME R0 – R3 720</w:t>
            </w:r>
          </w:p>
        </w:tc>
        <w:tc>
          <w:tcPr>
            <w:tcW w:w="2567" w:type="dxa"/>
            <w:gridSpan w:val="2"/>
          </w:tcPr>
          <w:p w:rsidR="0064474B" w:rsidRPr="0064474B" w:rsidRDefault="0064474B" w:rsidP="00183B94">
            <w:pPr>
              <w:spacing w:after="120"/>
              <w:jc w:val="both"/>
              <w:rPr>
                <w:rFonts w:cstheme="minorHAnsi"/>
                <w:b/>
                <w:sz w:val="20"/>
                <w:szCs w:val="20"/>
              </w:rPr>
            </w:pPr>
            <w:r w:rsidRPr="0064474B">
              <w:rPr>
                <w:rFonts w:cstheme="minorHAnsi"/>
                <w:b/>
                <w:sz w:val="20"/>
                <w:szCs w:val="20"/>
              </w:rPr>
              <w:t>INCOME R3 721 – R7 440</w:t>
            </w:r>
          </w:p>
        </w:tc>
        <w:tc>
          <w:tcPr>
            <w:tcW w:w="2650" w:type="dxa"/>
            <w:gridSpan w:val="2"/>
          </w:tcPr>
          <w:p w:rsidR="0064474B" w:rsidRPr="0064474B" w:rsidRDefault="0064474B" w:rsidP="00183B94">
            <w:pPr>
              <w:spacing w:after="120"/>
              <w:jc w:val="both"/>
              <w:rPr>
                <w:rFonts w:cstheme="minorHAnsi"/>
                <w:b/>
                <w:sz w:val="20"/>
                <w:szCs w:val="20"/>
              </w:rPr>
            </w:pPr>
            <w:r w:rsidRPr="0064474B">
              <w:rPr>
                <w:rFonts w:cstheme="minorHAnsi"/>
                <w:b/>
                <w:sz w:val="20"/>
                <w:szCs w:val="20"/>
              </w:rPr>
              <w:t>INCOME R0 – R7 440</w:t>
            </w:r>
          </w:p>
        </w:tc>
      </w:tr>
      <w:tr w:rsidR="0049264C" w:rsidRPr="0064474B" w:rsidTr="0064474B">
        <w:tc>
          <w:tcPr>
            <w:tcW w:w="1096" w:type="dxa"/>
            <w:vMerge/>
          </w:tcPr>
          <w:p w:rsidR="0049264C" w:rsidRPr="0064474B" w:rsidRDefault="0049264C" w:rsidP="0064474B">
            <w:pPr>
              <w:spacing w:after="120" w:line="276" w:lineRule="auto"/>
              <w:jc w:val="both"/>
              <w:rPr>
                <w:rFonts w:cstheme="minorHAnsi"/>
                <w:sz w:val="20"/>
                <w:szCs w:val="20"/>
              </w:rPr>
            </w:pPr>
          </w:p>
        </w:tc>
        <w:tc>
          <w:tcPr>
            <w:tcW w:w="437"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1</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 xml:space="preserve">The verified gross monthly income of all occupants of the dwelling over 18 years of age may not exceed the sum of </w:t>
            </w:r>
            <w:r w:rsidRPr="0064474B">
              <w:rPr>
                <w:rFonts w:cstheme="minorHAnsi"/>
                <w:b/>
                <w:sz w:val="20"/>
                <w:szCs w:val="20"/>
              </w:rPr>
              <w:t>two</w:t>
            </w:r>
            <w:r w:rsidRPr="0064474B">
              <w:rPr>
                <w:rFonts w:cstheme="minorHAnsi"/>
                <w:sz w:val="20"/>
                <w:szCs w:val="20"/>
              </w:rPr>
              <w:t xml:space="preserve"> times the amount of state funded social pension</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1</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 xml:space="preserve">The verified gross monthly income of all occupants of the dwelling over 18 years of age may not exceed the sum of </w:t>
            </w:r>
            <w:r w:rsidRPr="0064474B">
              <w:rPr>
                <w:rFonts w:cstheme="minorHAnsi"/>
                <w:b/>
                <w:sz w:val="20"/>
                <w:szCs w:val="20"/>
              </w:rPr>
              <w:t>four</w:t>
            </w:r>
            <w:r w:rsidRPr="0064474B">
              <w:rPr>
                <w:rFonts w:cstheme="minorHAnsi"/>
                <w:sz w:val="20"/>
                <w:szCs w:val="20"/>
              </w:rPr>
              <w:t xml:space="preserve"> times the amount of state funded social pension</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1</w:t>
            </w:r>
          </w:p>
        </w:tc>
        <w:tc>
          <w:tcPr>
            <w:tcW w:w="2329"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 xml:space="preserve">The verified gross monthly income of all occupants of the dwelling over 18 years of age may not exceed the sum of </w:t>
            </w:r>
            <w:r w:rsidRPr="0064474B">
              <w:rPr>
                <w:rFonts w:cstheme="minorHAnsi"/>
                <w:b/>
                <w:sz w:val="20"/>
                <w:szCs w:val="20"/>
              </w:rPr>
              <w:t>four</w:t>
            </w:r>
            <w:r w:rsidRPr="0064474B">
              <w:rPr>
                <w:rFonts w:cstheme="minorHAnsi"/>
                <w:sz w:val="20"/>
                <w:szCs w:val="20"/>
              </w:rPr>
              <w:t xml:space="preserve"> times the amount of state funded social pension</w:t>
            </w:r>
          </w:p>
        </w:tc>
      </w:tr>
      <w:tr w:rsidR="0049264C" w:rsidRPr="0064474B" w:rsidTr="0064474B">
        <w:tc>
          <w:tcPr>
            <w:tcW w:w="1096" w:type="dxa"/>
            <w:vMerge/>
          </w:tcPr>
          <w:p w:rsidR="0049264C" w:rsidRPr="0064474B" w:rsidRDefault="0049264C" w:rsidP="0064474B">
            <w:pPr>
              <w:spacing w:after="120" w:line="276" w:lineRule="auto"/>
              <w:jc w:val="both"/>
              <w:rPr>
                <w:rFonts w:cstheme="minorHAnsi"/>
                <w:sz w:val="20"/>
                <w:szCs w:val="20"/>
              </w:rPr>
            </w:pPr>
          </w:p>
        </w:tc>
        <w:tc>
          <w:tcPr>
            <w:tcW w:w="437"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2</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Must be full-time occupants of the property</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2</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Must be full-time occupants of the property</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2</w:t>
            </w:r>
          </w:p>
        </w:tc>
        <w:tc>
          <w:tcPr>
            <w:tcW w:w="2329"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Must be full-time occupants of the property</w:t>
            </w:r>
          </w:p>
        </w:tc>
      </w:tr>
      <w:tr w:rsidR="0049264C" w:rsidRPr="0064474B" w:rsidTr="0064474B">
        <w:tc>
          <w:tcPr>
            <w:tcW w:w="1096" w:type="dxa"/>
            <w:vMerge/>
          </w:tcPr>
          <w:p w:rsidR="0049264C" w:rsidRPr="0064474B" w:rsidRDefault="0049264C" w:rsidP="0064474B">
            <w:pPr>
              <w:spacing w:after="120" w:line="276" w:lineRule="auto"/>
              <w:jc w:val="both"/>
              <w:rPr>
                <w:rFonts w:cstheme="minorHAnsi"/>
                <w:sz w:val="20"/>
                <w:szCs w:val="20"/>
              </w:rPr>
            </w:pPr>
          </w:p>
        </w:tc>
        <w:tc>
          <w:tcPr>
            <w:tcW w:w="437"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3</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May only own one property</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3</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May only own one property</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3</w:t>
            </w:r>
          </w:p>
        </w:tc>
        <w:tc>
          <w:tcPr>
            <w:tcW w:w="2329"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The person with a disability must be registered as a person with a disability, diagnosed by a medical practitioner and must be a full-time occupant of the property concerned.</w:t>
            </w:r>
          </w:p>
        </w:tc>
      </w:tr>
      <w:tr w:rsidR="0049264C" w:rsidRPr="0064474B" w:rsidTr="00183B94">
        <w:tc>
          <w:tcPr>
            <w:tcW w:w="1096" w:type="dxa"/>
            <w:vMerge w:val="restart"/>
            <w:textDirection w:val="tbRl"/>
          </w:tcPr>
          <w:p w:rsidR="0049264C" w:rsidRPr="00183B94" w:rsidRDefault="0049264C" w:rsidP="00183B94">
            <w:pPr>
              <w:spacing w:after="120" w:line="276" w:lineRule="auto"/>
              <w:ind w:left="113" w:right="113"/>
              <w:jc w:val="both"/>
              <w:rPr>
                <w:rFonts w:cstheme="minorHAnsi"/>
                <w:b/>
                <w:sz w:val="24"/>
                <w:szCs w:val="24"/>
              </w:rPr>
            </w:pPr>
          </w:p>
          <w:p w:rsidR="0049264C" w:rsidRPr="00183B94" w:rsidRDefault="0049264C" w:rsidP="00183B94">
            <w:pPr>
              <w:spacing w:after="120" w:line="276" w:lineRule="auto"/>
              <w:ind w:left="113" w:right="113"/>
              <w:jc w:val="center"/>
              <w:rPr>
                <w:rFonts w:cstheme="minorHAnsi"/>
                <w:b/>
                <w:sz w:val="24"/>
                <w:szCs w:val="24"/>
              </w:rPr>
            </w:pPr>
            <w:r w:rsidRPr="00183B94">
              <w:rPr>
                <w:rFonts w:cstheme="minorHAnsi"/>
                <w:b/>
                <w:sz w:val="24"/>
                <w:szCs w:val="24"/>
              </w:rPr>
              <w:t>Benefits</w:t>
            </w:r>
          </w:p>
        </w:tc>
        <w:tc>
          <w:tcPr>
            <w:tcW w:w="437"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1</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Water: 6Kl &amp; basic charges per month</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1</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Water: 6Kl &amp; 50% of basic charges per month</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1</w:t>
            </w:r>
          </w:p>
        </w:tc>
        <w:tc>
          <w:tcPr>
            <w:tcW w:w="2329"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Water: 6Kl &amp; basic charges per month</w:t>
            </w:r>
          </w:p>
        </w:tc>
      </w:tr>
      <w:tr w:rsidR="0049264C" w:rsidRPr="0064474B" w:rsidTr="0064474B">
        <w:tc>
          <w:tcPr>
            <w:tcW w:w="1096" w:type="dxa"/>
            <w:vMerge/>
          </w:tcPr>
          <w:p w:rsidR="0049264C" w:rsidRPr="0064474B" w:rsidRDefault="0049264C" w:rsidP="0064474B">
            <w:pPr>
              <w:spacing w:after="120" w:line="276" w:lineRule="auto"/>
              <w:jc w:val="both"/>
              <w:rPr>
                <w:rFonts w:cstheme="minorHAnsi"/>
                <w:sz w:val="20"/>
                <w:szCs w:val="20"/>
              </w:rPr>
            </w:pPr>
          </w:p>
        </w:tc>
        <w:tc>
          <w:tcPr>
            <w:tcW w:w="437"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2</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Electricity: 50 kWh &amp; basic charges per month</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2</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Electricity: 25 kWh &amp; 50% of basic charges per month</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2</w:t>
            </w:r>
          </w:p>
        </w:tc>
        <w:tc>
          <w:tcPr>
            <w:tcW w:w="2329"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Electricity: 50 kWh &amp; basic charges per month</w:t>
            </w:r>
          </w:p>
        </w:tc>
      </w:tr>
      <w:tr w:rsidR="0049264C" w:rsidRPr="0064474B" w:rsidTr="0064474B">
        <w:tc>
          <w:tcPr>
            <w:tcW w:w="1096" w:type="dxa"/>
            <w:vMerge/>
          </w:tcPr>
          <w:p w:rsidR="0049264C" w:rsidRPr="0064474B" w:rsidRDefault="0049264C" w:rsidP="0064474B">
            <w:pPr>
              <w:spacing w:after="120" w:line="276" w:lineRule="auto"/>
              <w:jc w:val="both"/>
              <w:rPr>
                <w:rFonts w:cstheme="minorHAnsi"/>
                <w:sz w:val="20"/>
                <w:szCs w:val="20"/>
              </w:rPr>
            </w:pPr>
          </w:p>
        </w:tc>
        <w:tc>
          <w:tcPr>
            <w:tcW w:w="437"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3</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Refuse removal: basic charges per month</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3</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Refuse removal: 50% of basic charges per month</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3</w:t>
            </w:r>
          </w:p>
        </w:tc>
        <w:tc>
          <w:tcPr>
            <w:tcW w:w="2329"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Refuse removal: basic charges per month</w:t>
            </w:r>
          </w:p>
        </w:tc>
      </w:tr>
      <w:tr w:rsidR="0049264C" w:rsidRPr="0064474B" w:rsidTr="0064474B">
        <w:tc>
          <w:tcPr>
            <w:tcW w:w="1096" w:type="dxa"/>
            <w:vMerge/>
          </w:tcPr>
          <w:p w:rsidR="0049264C" w:rsidRPr="0064474B" w:rsidRDefault="0049264C" w:rsidP="0064474B">
            <w:pPr>
              <w:spacing w:after="120" w:line="276" w:lineRule="auto"/>
              <w:jc w:val="both"/>
              <w:rPr>
                <w:rFonts w:cstheme="minorHAnsi"/>
                <w:sz w:val="20"/>
                <w:szCs w:val="20"/>
              </w:rPr>
            </w:pPr>
          </w:p>
        </w:tc>
        <w:tc>
          <w:tcPr>
            <w:tcW w:w="437"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4</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Sanitation: basic charges per month</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4</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Sanitation: 50% of basic per month</w:t>
            </w: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4</w:t>
            </w:r>
          </w:p>
        </w:tc>
        <w:tc>
          <w:tcPr>
            <w:tcW w:w="2329"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Sanitation: basic charges per month</w:t>
            </w:r>
          </w:p>
        </w:tc>
      </w:tr>
      <w:tr w:rsidR="0049264C" w:rsidRPr="0064474B" w:rsidTr="0064474B">
        <w:tc>
          <w:tcPr>
            <w:tcW w:w="1096" w:type="dxa"/>
            <w:vMerge/>
          </w:tcPr>
          <w:p w:rsidR="0049264C" w:rsidRPr="0064474B" w:rsidRDefault="0049264C" w:rsidP="0064474B">
            <w:pPr>
              <w:spacing w:after="120" w:line="276" w:lineRule="auto"/>
              <w:jc w:val="both"/>
              <w:rPr>
                <w:rFonts w:cstheme="minorHAnsi"/>
                <w:sz w:val="20"/>
                <w:szCs w:val="20"/>
              </w:rPr>
            </w:pPr>
          </w:p>
        </w:tc>
        <w:tc>
          <w:tcPr>
            <w:tcW w:w="437"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5</w:t>
            </w:r>
          </w:p>
        </w:tc>
        <w:tc>
          <w:tcPr>
            <w:tcW w:w="2246"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Property rates: rated on the valuation up to amount set by Council (Currently R81 000)</w:t>
            </w:r>
          </w:p>
        </w:tc>
        <w:tc>
          <w:tcPr>
            <w:tcW w:w="321" w:type="dxa"/>
          </w:tcPr>
          <w:p w:rsidR="0049264C" w:rsidRPr="0064474B" w:rsidRDefault="0049264C" w:rsidP="00183B94">
            <w:pPr>
              <w:spacing w:line="276" w:lineRule="auto"/>
              <w:jc w:val="both"/>
              <w:rPr>
                <w:rFonts w:cstheme="minorHAnsi"/>
                <w:sz w:val="20"/>
                <w:szCs w:val="20"/>
              </w:rPr>
            </w:pPr>
          </w:p>
        </w:tc>
        <w:tc>
          <w:tcPr>
            <w:tcW w:w="2246" w:type="dxa"/>
          </w:tcPr>
          <w:p w:rsidR="0049264C" w:rsidRPr="0064474B" w:rsidRDefault="0049264C" w:rsidP="00183B94">
            <w:pPr>
              <w:spacing w:line="276" w:lineRule="auto"/>
              <w:jc w:val="both"/>
              <w:rPr>
                <w:rFonts w:cstheme="minorHAnsi"/>
                <w:sz w:val="20"/>
                <w:szCs w:val="20"/>
              </w:rPr>
            </w:pPr>
          </w:p>
        </w:tc>
        <w:tc>
          <w:tcPr>
            <w:tcW w:w="321"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5</w:t>
            </w:r>
          </w:p>
        </w:tc>
        <w:tc>
          <w:tcPr>
            <w:tcW w:w="2329" w:type="dxa"/>
          </w:tcPr>
          <w:p w:rsidR="0049264C" w:rsidRPr="0064474B" w:rsidRDefault="0049264C" w:rsidP="00183B94">
            <w:pPr>
              <w:spacing w:line="276" w:lineRule="auto"/>
              <w:jc w:val="both"/>
              <w:rPr>
                <w:rFonts w:cstheme="minorHAnsi"/>
                <w:sz w:val="20"/>
                <w:szCs w:val="20"/>
              </w:rPr>
            </w:pPr>
            <w:r w:rsidRPr="0064474B">
              <w:rPr>
                <w:rFonts w:cstheme="minorHAnsi"/>
                <w:sz w:val="20"/>
                <w:szCs w:val="20"/>
              </w:rPr>
              <w:t>Property rates: rated on the valuation up to the amount set by Council (Currently R81 000)</w:t>
            </w:r>
          </w:p>
        </w:tc>
      </w:tr>
      <w:tr w:rsidR="0049264C" w:rsidRPr="0064474B" w:rsidTr="0064474B">
        <w:tc>
          <w:tcPr>
            <w:tcW w:w="8996" w:type="dxa"/>
            <w:gridSpan w:val="7"/>
          </w:tcPr>
          <w:p w:rsidR="0049264C" w:rsidRPr="0064474B" w:rsidRDefault="0049264C" w:rsidP="00183B94">
            <w:pPr>
              <w:spacing w:after="120"/>
              <w:jc w:val="both"/>
              <w:rPr>
                <w:rFonts w:cstheme="minorHAnsi"/>
                <w:b/>
                <w:sz w:val="20"/>
                <w:szCs w:val="20"/>
              </w:rPr>
            </w:pPr>
            <w:r w:rsidRPr="0064474B">
              <w:rPr>
                <w:rFonts w:cstheme="minorHAnsi"/>
                <w:b/>
                <w:sz w:val="20"/>
                <w:szCs w:val="20"/>
              </w:rPr>
              <w:t>APPLICATION PROCESS</w:t>
            </w:r>
          </w:p>
        </w:tc>
      </w:tr>
      <w:tr w:rsidR="0049264C" w:rsidRPr="0064474B" w:rsidTr="0064474B">
        <w:tc>
          <w:tcPr>
            <w:tcW w:w="8996" w:type="dxa"/>
            <w:gridSpan w:val="7"/>
          </w:tcPr>
          <w:p w:rsidR="0049264C" w:rsidRPr="0064474B" w:rsidRDefault="0049264C" w:rsidP="00183B94">
            <w:pPr>
              <w:spacing w:after="120"/>
              <w:jc w:val="both"/>
              <w:rPr>
                <w:rFonts w:cstheme="minorHAnsi"/>
                <w:sz w:val="20"/>
                <w:szCs w:val="20"/>
              </w:rPr>
            </w:pPr>
            <w:r w:rsidRPr="0064474B">
              <w:rPr>
                <w:rFonts w:cstheme="minorHAnsi"/>
                <w:sz w:val="20"/>
                <w:szCs w:val="20"/>
              </w:rPr>
              <w:t>The account holder must apply in person on the prescribed application. In the case of a deceased, the applicant must be authorised with an Authorisation letter from the court and apply in person or authorise another occupant as proxy by means of a sworn statement. In the case of a disabled person, the medical certificate to confirm the client’s health condition must be obtained and provided at regular intervals to qualify for this support.</w:t>
            </w:r>
          </w:p>
        </w:tc>
      </w:tr>
      <w:tr w:rsidR="0049264C" w:rsidRPr="0064474B" w:rsidTr="0064474B">
        <w:tc>
          <w:tcPr>
            <w:tcW w:w="8996" w:type="dxa"/>
            <w:gridSpan w:val="7"/>
          </w:tcPr>
          <w:p w:rsidR="0049264C" w:rsidRPr="0064474B" w:rsidRDefault="0049264C" w:rsidP="00183B94">
            <w:pPr>
              <w:spacing w:after="120"/>
              <w:jc w:val="both"/>
              <w:rPr>
                <w:rFonts w:cstheme="minorHAnsi"/>
                <w:b/>
                <w:sz w:val="20"/>
                <w:szCs w:val="20"/>
              </w:rPr>
            </w:pPr>
            <w:r w:rsidRPr="0064474B">
              <w:rPr>
                <w:rFonts w:cstheme="minorHAnsi"/>
                <w:b/>
                <w:sz w:val="20"/>
                <w:szCs w:val="20"/>
              </w:rPr>
              <w:t>SUPPORTING DOCUMENTS NEEDED</w:t>
            </w:r>
          </w:p>
        </w:tc>
      </w:tr>
      <w:tr w:rsidR="0049264C" w:rsidRPr="0064474B" w:rsidTr="0064474B">
        <w:trPr>
          <w:trHeight w:val="747"/>
        </w:trPr>
        <w:tc>
          <w:tcPr>
            <w:tcW w:w="8996" w:type="dxa"/>
            <w:gridSpan w:val="7"/>
          </w:tcPr>
          <w:p w:rsidR="0049264C" w:rsidRPr="0064474B" w:rsidRDefault="0049264C" w:rsidP="00183B94">
            <w:pPr>
              <w:spacing w:after="120"/>
              <w:jc w:val="both"/>
              <w:rPr>
                <w:rFonts w:cstheme="minorHAnsi"/>
                <w:sz w:val="20"/>
                <w:szCs w:val="20"/>
              </w:rPr>
            </w:pPr>
            <w:r w:rsidRPr="0064474B">
              <w:rPr>
                <w:rFonts w:cstheme="minorHAnsi"/>
                <w:sz w:val="20"/>
                <w:szCs w:val="20"/>
              </w:rPr>
              <w:t xml:space="preserve">Applications must include the latest municipal account number, proof of the account holder’s identity document, proof of income of the total household – either payslips and/or bank statements, or </w:t>
            </w:r>
            <w:r w:rsidR="00183B94" w:rsidRPr="0064474B">
              <w:rPr>
                <w:rFonts w:cstheme="minorHAnsi"/>
                <w:sz w:val="20"/>
                <w:szCs w:val="20"/>
              </w:rPr>
              <w:t>an affidavit</w:t>
            </w:r>
            <w:r w:rsidRPr="0064474B">
              <w:rPr>
                <w:rFonts w:cstheme="minorHAnsi"/>
                <w:sz w:val="20"/>
                <w:szCs w:val="20"/>
              </w:rPr>
              <w:t xml:space="preserve"> for all unemployed occupants. In the case of a disabled person, the medical certificate to confirm the client’s health condition must be obtained from a medical doctor and provided at regular intervals to qualify for this support. Applicant must be the permanent occupant.</w:t>
            </w:r>
          </w:p>
        </w:tc>
      </w:tr>
    </w:tbl>
    <w:p w:rsidR="0049264C" w:rsidRPr="0064474B" w:rsidRDefault="0049264C" w:rsidP="0064474B">
      <w:pPr>
        <w:pStyle w:val="Heading2btext"/>
        <w:spacing w:before="0" w:after="120" w:line="276" w:lineRule="auto"/>
        <w:rPr>
          <w:rFonts w:asciiTheme="minorHAnsi" w:hAnsiTheme="minorHAnsi" w:cstheme="minorHAnsi"/>
          <w:sz w:val="20"/>
          <w:szCs w:val="20"/>
          <w:lang w:val="en-ZA"/>
        </w:rPr>
      </w:pPr>
    </w:p>
    <w:p w:rsidR="002F6C23" w:rsidRPr="0064474B" w:rsidRDefault="002F6C23" w:rsidP="0064474B">
      <w:pPr>
        <w:pStyle w:val="Heading2btext"/>
        <w:spacing w:before="0" w:after="120" w:line="276" w:lineRule="auto"/>
        <w:rPr>
          <w:rFonts w:asciiTheme="minorHAnsi" w:hAnsiTheme="minorHAnsi" w:cstheme="minorHAnsi"/>
          <w:sz w:val="20"/>
          <w:szCs w:val="20"/>
          <w:lang w:val="en-ZA"/>
        </w:rPr>
      </w:pPr>
      <w:r w:rsidRPr="0064474B">
        <w:rPr>
          <w:rFonts w:asciiTheme="minorHAnsi" w:hAnsiTheme="minorHAnsi" w:cstheme="minorHAnsi"/>
          <w:sz w:val="20"/>
          <w:szCs w:val="20"/>
          <w:lang w:val="en-ZA"/>
        </w:rPr>
        <w:t>[ENDS]</w:t>
      </w:r>
    </w:p>
    <w:p w:rsidR="00AE5851" w:rsidRPr="0064474B" w:rsidRDefault="00AE5851" w:rsidP="0064474B">
      <w:pPr>
        <w:pStyle w:val="Heading2btext"/>
        <w:spacing w:before="0" w:after="120" w:line="276" w:lineRule="auto"/>
        <w:rPr>
          <w:rFonts w:asciiTheme="minorHAnsi" w:hAnsiTheme="minorHAnsi" w:cstheme="minorHAnsi"/>
          <w:sz w:val="20"/>
          <w:szCs w:val="20"/>
          <w:lang w:val="en-ZA"/>
        </w:rPr>
      </w:pPr>
    </w:p>
    <w:p w:rsidR="00AE5851" w:rsidRPr="0064474B" w:rsidRDefault="00AE5851" w:rsidP="0064474B">
      <w:pPr>
        <w:pStyle w:val="Heading2btext"/>
        <w:spacing w:before="0" w:after="120" w:line="276" w:lineRule="auto"/>
        <w:rPr>
          <w:rFonts w:asciiTheme="minorHAnsi" w:hAnsiTheme="minorHAnsi" w:cstheme="minorHAnsi"/>
          <w:sz w:val="20"/>
          <w:szCs w:val="20"/>
          <w:lang w:val="en-ZA"/>
        </w:rPr>
      </w:pPr>
      <w:r w:rsidRPr="0064474B">
        <w:rPr>
          <w:rFonts w:asciiTheme="minorHAnsi" w:hAnsiTheme="minorHAnsi" w:cstheme="minorHAnsi"/>
          <w:sz w:val="20"/>
          <w:szCs w:val="20"/>
          <w:lang w:val="en-ZA"/>
        </w:rPr>
        <w:t>ISSUED BY THE MOSSEL BAY MUNICIPALITY COMMUNICATIONS 13 AUGUST</w:t>
      </w:r>
    </w:p>
    <w:p w:rsidR="00F67E04" w:rsidRDefault="00F67E04" w:rsidP="0064474B">
      <w:pPr>
        <w:pStyle w:val="Heading2btext"/>
        <w:spacing w:before="0" w:after="120" w:line="276" w:lineRule="auto"/>
        <w:rPr>
          <w:lang w:val="en-ZA"/>
        </w:rPr>
      </w:pPr>
    </w:p>
    <w:p w:rsidR="00F67E04" w:rsidRDefault="00F67E04" w:rsidP="0064474B">
      <w:pPr>
        <w:pStyle w:val="Heading2btext"/>
        <w:spacing w:before="0" w:after="120" w:line="276" w:lineRule="auto"/>
        <w:rPr>
          <w:lang w:val="en-ZA"/>
        </w:rPr>
      </w:pPr>
    </w:p>
    <w:p w:rsidR="00EF4F84" w:rsidRDefault="00EF4F84" w:rsidP="0064474B">
      <w:pPr>
        <w:pStyle w:val="Heading2btext"/>
        <w:spacing w:before="0" w:after="120" w:line="276" w:lineRule="auto"/>
        <w:contextualSpacing/>
        <w:mirrorIndents/>
        <w:rPr>
          <w:sz w:val="20"/>
          <w:szCs w:val="20"/>
          <w:lang w:val="en-ZA"/>
        </w:rPr>
      </w:pPr>
    </w:p>
    <w:p w:rsidR="00F67E04" w:rsidRDefault="00F67E04" w:rsidP="0064474B">
      <w:pPr>
        <w:pStyle w:val="Heading2btext"/>
        <w:spacing w:before="0" w:after="120" w:line="276" w:lineRule="auto"/>
        <w:contextualSpacing/>
        <w:mirrorIndents/>
        <w:rPr>
          <w:sz w:val="20"/>
          <w:szCs w:val="20"/>
          <w:lang w:val="en-ZA"/>
        </w:rPr>
      </w:pPr>
    </w:p>
    <w:p w:rsidR="00F67E04" w:rsidRPr="00EF4F84" w:rsidRDefault="00F67E04" w:rsidP="0064474B">
      <w:pPr>
        <w:pStyle w:val="Heading2btext"/>
        <w:spacing w:before="0" w:after="120" w:line="276" w:lineRule="auto"/>
        <w:contextualSpacing/>
        <w:mirrorIndents/>
        <w:rPr>
          <w:sz w:val="20"/>
          <w:szCs w:val="20"/>
          <w:lang w:val="en-ZA"/>
        </w:rPr>
      </w:pPr>
    </w:p>
    <w:p w:rsidR="00EF4F84" w:rsidRDefault="00EF4F84" w:rsidP="0064474B">
      <w:pPr>
        <w:pStyle w:val="Heading2btext"/>
        <w:spacing w:before="0" w:after="120" w:line="276" w:lineRule="auto"/>
        <w:contextualSpacing/>
        <w:mirrorIndents/>
        <w:rPr>
          <w:lang w:val="en-ZA"/>
        </w:rPr>
      </w:pPr>
    </w:p>
    <w:p w:rsidR="00E612C9" w:rsidRDefault="00E612C9" w:rsidP="0064474B">
      <w:pPr>
        <w:spacing w:after="120" w:line="276" w:lineRule="auto"/>
        <w:contextualSpacing/>
        <w:mirrorIndents/>
        <w:jc w:val="both"/>
      </w:pPr>
    </w:p>
    <w:p w:rsidR="00E612C9" w:rsidRDefault="00E612C9" w:rsidP="0064474B">
      <w:pPr>
        <w:spacing w:after="120" w:line="276" w:lineRule="auto"/>
        <w:contextualSpacing/>
        <w:mirrorIndents/>
        <w:jc w:val="both"/>
      </w:pPr>
    </w:p>
    <w:p w:rsidR="00EC1358" w:rsidRDefault="00923BAE">
      <w:r>
        <w:t xml:space="preserve"> </w:t>
      </w:r>
    </w:p>
    <w:sectPr w:rsidR="00EC13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5D0" w:rsidRDefault="00F725D0" w:rsidP="00163F9F">
      <w:pPr>
        <w:spacing w:after="0" w:line="240" w:lineRule="auto"/>
      </w:pPr>
      <w:r>
        <w:separator/>
      </w:r>
    </w:p>
  </w:endnote>
  <w:endnote w:type="continuationSeparator" w:id="0">
    <w:p w:rsidR="00F725D0" w:rsidRDefault="00F725D0" w:rsidP="001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5D0" w:rsidRDefault="00F725D0" w:rsidP="00163F9F">
      <w:pPr>
        <w:spacing w:after="0" w:line="240" w:lineRule="auto"/>
      </w:pPr>
      <w:r>
        <w:separator/>
      </w:r>
    </w:p>
  </w:footnote>
  <w:footnote w:type="continuationSeparator" w:id="0">
    <w:p w:rsidR="00F725D0" w:rsidRDefault="00F725D0" w:rsidP="0016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2B7"/>
    <w:multiLevelType w:val="hybridMultilevel"/>
    <w:tmpl w:val="AE3815D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C7F1FC8"/>
    <w:multiLevelType w:val="hybridMultilevel"/>
    <w:tmpl w:val="AF9A58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E8453DC"/>
    <w:multiLevelType w:val="hybridMultilevel"/>
    <w:tmpl w:val="41F610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9A308A"/>
    <w:multiLevelType w:val="hybridMultilevel"/>
    <w:tmpl w:val="2EF850A0"/>
    <w:lvl w:ilvl="0" w:tplc="C65C60D4">
      <w:start w:val="13"/>
      <w:numFmt w:val="bullet"/>
      <w:lvlText w:val="-"/>
      <w:lvlJc w:val="left"/>
      <w:pPr>
        <w:ind w:left="720" w:hanging="360"/>
      </w:pPr>
      <w:rPr>
        <w:rFonts w:ascii="Arial Narrow" w:eastAsia="Arial" w:hAnsi="Arial Narrow" w:cs="Arial"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53577A"/>
    <w:multiLevelType w:val="hybridMultilevel"/>
    <w:tmpl w:val="375C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04211"/>
    <w:multiLevelType w:val="hybridMultilevel"/>
    <w:tmpl w:val="1BEEB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A4C9E"/>
    <w:multiLevelType w:val="hybridMultilevel"/>
    <w:tmpl w:val="498C0030"/>
    <w:lvl w:ilvl="0" w:tplc="1E2E200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2156A9F"/>
    <w:multiLevelType w:val="hybridMultilevel"/>
    <w:tmpl w:val="ED72E48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FA2A23"/>
    <w:multiLevelType w:val="hybridMultilevel"/>
    <w:tmpl w:val="E070E5BE"/>
    <w:lvl w:ilvl="0" w:tplc="332A57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AA1B9E"/>
    <w:multiLevelType w:val="hybridMultilevel"/>
    <w:tmpl w:val="F4C026A0"/>
    <w:lvl w:ilvl="0" w:tplc="C65C60D4">
      <w:start w:val="13"/>
      <w:numFmt w:val="bullet"/>
      <w:lvlText w:val="-"/>
      <w:lvlJc w:val="left"/>
      <w:pPr>
        <w:ind w:left="720" w:hanging="360"/>
      </w:pPr>
      <w:rPr>
        <w:rFonts w:ascii="Arial Narrow" w:eastAsia="Arial" w:hAnsi="Arial Narrow" w:cs="Arial"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AE"/>
    <w:rsid w:val="00163F9F"/>
    <w:rsid w:val="00183B94"/>
    <w:rsid w:val="001D64CE"/>
    <w:rsid w:val="00205327"/>
    <w:rsid w:val="002F6C23"/>
    <w:rsid w:val="00307E0C"/>
    <w:rsid w:val="0037188D"/>
    <w:rsid w:val="00410F4E"/>
    <w:rsid w:val="004444E6"/>
    <w:rsid w:val="0049264C"/>
    <w:rsid w:val="004D4EFA"/>
    <w:rsid w:val="00593C8D"/>
    <w:rsid w:val="005A0A3D"/>
    <w:rsid w:val="0064474B"/>
    <w:rsid w:val="006C1BD2"/>
    <w:rsid w:val="006D2A04"/>
    <w:rsid w:val="00727641"/>
    <w:rsid w:val="00767054"/>
    <w:rsid w:val="007B7725"/>
    <w:rsid w:val="007D22CC"/>
    <w:rsid w:val="00860711"/>
    <w:rsid w:val="00863798"/>
    <w:rsid w:val="008A1DF2"/>
    <w:rsid w:val="00923BAE"/>
    <w:rsid w:val="00AB5630"/>
    <w:rsid w:val="00AE5851"/>
    <w:rsid w:val="00B710E5"/>
    <w:rsid w:val="00B74F6D"/>
    <w:rsid w:val="00BE5631"/>
    <w:rsid w:val="00C57B50"/>
    <w:rsid w:val="00D31A98"/>
    <w:rsid w:val="00E612C9"/>
    <w:rsid w:val="00EC1358"/>
    <w:rsid w:val="00EF4F84"/>
    <w:rsid w:val="00F679DC"/>
    <w:rsid w:val="00F67E04"/>
    <w:rsid w:val="00F725D0"/>
    <w:rsid w:val="00FC3A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5920"/>
  <w15:chartTrackingRefBased/>
  <w15:docId w15:val="{61A6DCCA-E891-4B4E-8EDA-B0993266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btext">
    <w:name w:val="Heading 2_btext"/>
    <w:basedOn w:val="Normal"/>
    <w:link w:val="Heading2btextChar"/>
    <w:rsid w:val="00E612C9"/>
    <w:pPr>
      <w:spacing w:before="240" w:after="240" w:line="240" w:lineRule="auto"/>
      <w:jc w:val="both"/>
    </w:pPr>
    <w:rPr>
      <w:rFonts w:ascii="Times New Roman" w:eastAsia="Times New Roman" w:hAnsi="Times New Roman" w:cs="Times New Roman"/>
      <w:sz w:val="24"/>
      <w:szCs w:val="24"/>
      <w:lang w:val="en-US"/>
    </w:rPr>
  </w:style>
  <w:style w:type="character" w:customStyle="1" w:styleId="Heading2btextChar">
    <w:name w:val="Heading 2_btext Char"/>
    <w:link w:val="Heading2btext"/>
    <w:rsid w:val="00E612C9"/>
    <w:rPr>
      <w:rFonts w:ascii="Times New Roman" w:eastAsia="Times New Roman" w:hAnsi="Times New Roman" w:cs="Times New Roman"/>
      <w:sz w:val="24"/>
      <w:szCs w:val="24"/>
      <w:lang w:val="en-US"/>
    </w:rPr>
  </w:style>
  <w:style w:type="paragraph" w:styleId="BodyText">
    <w:name w:val="Body Text"/>
    <w:basedOn w:val="Normal"/>
    <w:link w:val="BodyTextChar"/>
    <w:rsid w:val="00EF4F8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F4F8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3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F9F"/>
  </w:style>
  <w:style w:type="paragraph" w:styleId="Footer">
    <w:name w:val="footer"/>
    <w:basedOn w:val="Normal"/>
    <w:link w:val="FooterChar"/>
    <w:uiPriority w:val="99"/>
    <w:unhideWhenUsed/>
    <w:rsid w:val="00163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F9F"/>
  </w:style>
  <w:style w:type="table" w:styleId="TableGrid">
    <w:name w:val="Table Grid"/>
    <w:basedOn w:val="TableNormal"/>
    <w:uiPriority w:val="39"/>
    <w:rsid w:val="007B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BD2"/>
    <w:pPr>
      <w:ind w:left="720"/>
      <w:contextualSpacing/>
    </w:pPr>
  </w:style>
  <w:style w:type="paragraph" w:styleId="NormalWeb">
    <w:name w:val="Normal (Web)"/>
    <w:basedOn w:val="Normal"/>
    <w:uiPriority w:val="99"/>
    <w:unhideWhenUsed/>
    <w:rsid w:val="0049264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A1D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29169">
      <w:bodyDiv w:val="1"/>
      <w:marLeft w:val="0"/>
      <w:marRight w:val="0"/>
      <w:marTop w:val="0"/>
      <w:marBottom w:val="0"/>
      <w:divBdr>
        <w:top w:val="none" w:sz="0" w:space="0" w:color="auto"/>
        <w:left w:val="none" w:sz="0" w:space="0" w:color="auto"/>
        <w:bottom w:val="none" w:sz="0" w:space="0" w:color="auto"/>
        <w:right w:val="none" w:sz="0" w:space="0" w:color="auto"/>
      </w:divBdr>
    </w:div>
    <w:div w:id="482622300">
      <w:bodyDiv w:val="1"/>
      <w:marLeft w:val="0"/>
      <w:marRight w:val="0"/>
      <w:marTop w:val="0"/>
      <w:marBottom w:val="0"/>
      <w:divBdr>
        <w:top w:val="none" w:sz="0" w:space="0" w:color="auto"/>
        <w:left w:val="none" w:sz="0" w:space="0" w:color="auto"/>
        <w:bottom w:val="none" w:sz="0" w:space="0" w:color="auto"/>
        <w:right w:val="none" w:sz="0" w:space="0" w:color="auto"/>
      </w:divBdr>
    </w:div>
    <w:div w:id="573856305">
      <w:bodyDiv w:val="1"/>
      <w:marLeft w:val="0"/>
      <w:marRight w:val="0"/>
      <w:marTop w:val="0"/>
      <w:marBottom w:val="0"/>
      <w:divBdr>
        <w:top w:val="none" w:sz="0" w:space="0" w:color="auto"/>
        <w:left w:val="none" w:sz="0" w:space="0" w:color="auto"/>
        <w:bottom w:val="none" w:sz="0" w:space="0" w:color="auto"/>
        <w:right w:val="none" w:sz="0" w:space="0" w:color="auto"/>
      </w:divBdr>
    </w:div>
    <w:div w:id="1060251136">
      <w:bodyDiv w:val="1"/>
      <w:marLeft w:val="0"/>
      <w:marRight w:val="0"/>
      <w:marTop w:val="0"/>
      <w:marBottom w:val="0"/>
      <w:divBdr>
        <w:top w:val="none" w:sz="0" w:space="0" w:color="auto"/>
        <w:left w:val="none" w:sz="0" w:space="0" w:color="auto"/>
        <w:bottom w:val="none" w:sz="0" w:space="0" w:color="auto"/>
        <w:right w:val="none" w:sz="0" w:space="0" w:color="auto"/>
      </w:divBdr>
    </w:div>
    <w:div w:id="11448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Roux, Nickey</dc:creator>
  <cp:keywords/>
  <dc:description/>
  <cp:lastModifiedBy>Le Roux, Nickey</cp:lastModifiedBy>
  <cp:revision>2</cp:revision>
  <dcterms:created xsi:type="dcterms:W3CDTF">2020-08-13T14:46:00Z</dcterms:created>
  <dcterms:modified xsi:type="dcterms:W3CDTF">2020-08-13T14:46:00Z</dcterms:modified>
</cp:coreProperties>
</file>